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D9" w:rsidRDefault="00F707D9"/>
    <w:p w:rsidR="003B1176" w:rsidRDefault="003B1176"/>
    <w:p w:rsidR="003B1176" w:rsidRPr="003B1176" w:rsidRDefault="003B1176" w:rsidP="003B117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</w:pPr>
      <w:r w:rsidRPr="003B1176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Cyklo &amp; in-line stezky údolím Tiché Orlice a Třebovky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Zařazení:  </w:t>
      </w:r>
      <w:r w:rsidRPr="003B1176">
        <w:rPr>
          <w:rFonts w:ascii="Arial" w:eastAsia="Times New Roman" w:hAnsi="Arial" w:cs="Arial"/>
          <w:szCs w:val="24"/>
          <w:lang w:eastAsia="cs-CZ"/>
        </w:rPr>
        <w:t>Cestovní ruch a volnočasové aktivity – infrastrukturní  investiční projekt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3B1176">
        <w:rPr>
          <w:rFonts w:ascii="Arial" w:eastAsia="Times New Roman" w:hAnsi="Arial" w:cs="Arial"/>
          <w:b/>
          <w:sz w:val="28"/>
          <w:szCs w:val="28"/>
          <w:lang w:eastAsia="cs-CZ"/>
        </w:rPr>
        <w:t>Cyklo &amp; in-line stezky údolím Tiché Orlice</w:t>
      </w:r>
      <w:r w:rsidR="002622A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3B1176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a Třebovky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cs-CZ"/>
        </w:rPr>
      </w:pPr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Stezky byly postupně budovány v letech 2007 až </w:t>
      </w:r>
      <w:smartTag w:uri="urn:schemas-microsoft-com:office:smarttags" w:element="metricconverter">
        <w:smartTagPr>
          <w:attr w:name="ProductID" w:val="2009 a"/>
        </w:smartTagPr>
        <w:r w:rsidRPr="003B1176">
          <w:rPr>
            <w:rFonts w:ascii="Arial" w:eastAsia="Times New Roman" w:hAnsi="Arial" w:cs="Arial"/>
            <w:b/>
            <w:szCs w:val="24"/>
            <w:lang w:eastAsia="cs-CZ"/>
          </w:rPr>
          <w:t>2009 a</w:t>
        </w:r>
      </w:smartTag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 otevíraly se ve třech etapách. Investorem, vlastníkem a provozovatelem je svazek obcí Region Orlicko – Třebovsko. Cyklisté, in-line bruslaři a další rozliční návštěvníci se tak mohou léta těšit ze </w:t>
      </w:r>
      <w:smartTag w:uri="urn:schemas-microsoft-com:office:smarttags" w:element="metricconverter">
        <w:smartTagPr>
          <w:attr w:name="ProductID" w:val="40 km"/>
        </w:smartTagPr>
        <w:r w:rsidRPr="003B1176">
          <w:rPr>
            <w:rFonts w:ascii="Arial" w:eastAsia="Times New Roman" w:hAnsi="Arial" w:cs="Arial"/>
            <w:b/>
            <w:szCs w:val="24"/>
            <w:lang w:eastAsia="cs-CZ"/>
          </w:rPr>
          <w:t>40 km</w:t>
        </w:r>
      </w:smartTag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 stezek v údolí Tiché Orlice a Třebovky od Letohradu přes Ústí n.Orl. do Chocně (</w:t>
      </w:r>
      <w:smartTag w:uri="urn:schemas-microsoft-com:office:smarttags" w:element="metricconverter">
        <w:smartTagPr>
          <w:attr w:name="ProductID" w:val="30 km"/>
        </w:smartTagPr>
        <w:r w:rsidRPr="003B1176">
          <w:rPr>
            <w:rFonts w:ascii="Arial" w:eastAsia="Times New Roman" w:hAnsi="Arial" w:cs="Arial"/>
            <w:b/>
            <w:szCs w:val="24"/>
            <w:lang w:eastAsia="cs-CZ"/>
          </w:rPr>
          <w:t>30 km</w:t>
        </w:r>
      </w:smartTag>
      <w:r w:rsidRPr="003B1176">
        <w:rPr>
          <w:rFonts w:ascii="Arial" w:eastAsia="Times New Roman" w:hAnsi="Arial" w:cs="Arial"/>
          <w:b/>
          <w:szCs w:val="24"/>
          <w:lang w:eastAsia="cs-CZ"/>
        </w:rPr>
        <w:t>) a z Ústí n.Orl. do České Třebové (</w:t>
      </w:r>
      <w:smartTag w:uri="urn:schemas-microsoft-com:office:smarttags" w:element="metricconverter">
        <w:smartTagPr>
          <w:attr w:name="ProductID" w:val="10 km"/>
        </w:smartTagPr>
        <w:r w:rsidRPr="003B1176">
          <w:rPr>
            <w:rFonts w:ascii="Arial" w:eastAsia="Times New Roman" w:hAnsi="Arial" w:cs="Arial"/>
            <w:b/>
            <w:szCs w:val="24"/>
            <w:lang w:eastAsia="cs-CZ"/>
          </w:rPr>
          <w:t>10 km</w:t>
        </w:r>
      </w:smartTag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). Stezky o šířce 2,5 až </w:t>
      </w:r>
      <w:smartTag w:uri="urn:schemas-microsoft-com:office:smarttags" w:element="metricconverter">
        <w:smartTagPr>
          <w:attr w:name="ProductID" w:val="3 m"/>
        </w:smartTagPr>
        <w:r w:rsidRPr="003B1176">
          <w:rPr>
            <w:rFonts w:ascii="Arial" w:eastAsia="Times New Roman" w:hAnsi="Arial" w:cs="Arial"/>
            <w:b/>
            <w:szCs w:val="24"/>
            <w:lang w:eastAsia="cs-CZ"/>
          </w:rPr>
          <w:t>3 m</w:t>
        </w:r>
      </w:smartTag>
      <w:r w:rsidRPr="003B1176">
        <w:rPr>
          <w:rFonts w:ascii="Arial" w:eastAsia="Times New Roman" w:hAnsi="Arial" w:cs="Arial"/>
          <w:b/>
          <w:szCs w:val="24"/>
          <w:lang w:eastAsia="cs-CZ"/>
        </w:rPr>
        <w:t xml:space="preserve"> mají kvalitní asfaltový povrch a orientační značení, jsou doprovázeny řadou odpočívadel a mapových stojanů, opatřeny nástupními parkovišti a jsou pravidelně udržovány a zametány.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b/>
          <w:sz w:val="8"/>
          <w:szCs w:val="8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Investorem projektu je svazek obcí Region Orlicko – Třebovsko (dále jen ROT), který čítá v dnešní době 24 členských obcí ze dvou ORP - Ústí nad Orlicí a Česká Třebová. Pro účely tohoto náročného investičního projektu o rozpočtu </w:t>
      </w:r>
      <w:smartTag w:uri="urn:schemas-microsoft-com:office:smarttags" w:element="metricconverter">
        <w:smartTagPr>
          <w:attr w:name="ProductID" w:val="140 mil"/>
        </w:smartTagPr>
        <w:r w:rsidRPr="003B1176">
          <w:rPr>
            <w:rFonts w:ascii="Arial" w:eastAsia="Times New Roman" w:hAnsi="Arial" w:cs="Arial"/>
            <w:szCs w:val="24"/>
            <w:lang w:eastAsia="cs-CZ"/>
          </w:rPr>
          <w:t>140 mil</w:t>
        </w:r>
      </w:smartTag>
      <w:r w:rsidRPr="003B1176">
        <w:rPr>
          <w:rFonts w:ascii="Arial" w:eastAsia="Times New Roman" w:hAnsi="Arial" w:cs="Arial"/>
          <w:szCs w:val="24"/>
          <w:lang w:eastAsia="cs-CZ"/>
        </w:rPr>
        <w:t xml:space="preserve">. Kč byla vytvořena tzv. partnerská smlouva mezi svazkem obcí ROT a 10 většími obcemi, dotčenými trasou stezek (z toho 2 koncové obce dokonce nejsou členem ROT). Smlouva zahrnuje principy spolupráce na projektu s právy a povinnostmi účastníků smlouvy ve fázi přípravy, realizace a provozu. Doprovodným materiálem ke smlouvě byla projekce cash-flow v dlouhodobém časovém horizontu 15 let, neboť investor svazek ROT na projekt čerpal dlouhodobý úvěr s rovnoměrnými splátkami po dobu 10 let od ukončení realizace projektu. Krytí úvěru poskytly zúčastněné partnerské obce. Schválení této dlouhodobé partnerské smlouvy bylo důležitým mezníkem pro bezpečnou realizaci a udržitelný provoz celé náročné akce nadregionálního významu a  umožnilo kontinuitu řešení i napříč několika volebními obdobími. Jako účelné se také ukázalo to, že se o projekt od začátku jeho přípravy, v realizaci i v provozu stará jeden a tentýž smluvně sjednaný projektový tým a management.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Výsledkem jsou cyklostezky hojně užívané jak místními obyvateli, tak návštěvníky z okolního regionu i z celé ČR. Patří mezi naše nejlepší terény pro kolečkové bruslaře. Tento počin byl zrodem marketingové značky Orlické cyklo &amp; in-line království. O slunečném letním dni na stezkách může projet až 5 000 uživatelů denně. Při trase byly postupně otevřeny a nově vznikají další bufety a restaurace, v blízkosti stezky vznikly nové penziony. Na stezkách je provozována in-line školička pro malé i dospělé a in-liniový letní tábor. Ekonomické a celospolečenské benefity překonaly očekávání argumentovaná v úvodní studii.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Mezi největší úskalí tohoto projektu patřilo získání podpory zastupitelstev pro projekt, který má liniový charakter a tzv. neleží na území nikoho a současně všech. Zásadní bylo sjednání procentuálních podílů obcí na spolufinancování celého projektu ve všech jeho fázích na principu gentlemanské dohody se zohledněním velikosti obce a jejích rozpočtových možností a částečně se zohledněním i délky úseků cyklostezek na území obce a míře přínosu pro její obyvatele. technickým Oříškem bylo prolomení střetu zájmů při projednání trasování (České dráhy, SŽDC, Povodí Labe, orgány ochrany přírody) a vypořádání vlastnických vztahů (469 pozemků a 177 smluv), z nichž některé se řeší až doposud. Realizace byla financována z několika dotačních programů EU (SROP, ROP NUTS II Severovýchod), ze státního rozpočtu (SFDI) a z veřejných prostředků dotčených obcí a s drobným příspěvky Pardubického kraje. Administrace souběhu i realizace dotací byla velmi náročná.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I přes všechna úskalí můžeme náš model realizace cyklostezek doporučit. Do realizace je třeba zapojit lidi, kteří budou v projektu plně i svým srdcem, jinak to nejde zvládnout. Zde trochu narážíme na limity o zadávání veřejných zakázek. V každém případě doporučujeme </w:t>
      </w:r>
      <w:r w:rsidRPr="003B1176">
        <w:rPr>
          <w:rFonts w:ascii="Arial" w:eastAsia="Times New Roman" w:hAnsi="Arial" w:cs="Arial"/>
          <w:szCs w:val="24"/>
          <w:lang w:eastAsia="cs-CZ"/>
        </w:rPr>
        <w:lastRenderedPageBreak/>
        <w:t xml:space="preserve">budoucím investorům, aby dobře trasování a parametry stezek promysleli a postavili je nadčasově, tedy dostatečně široké, s kvalitním povrchem a v případě volby se vyhnuli zcela provozu motorových vozidel. My jsme v časové tísni a z neznalosti fenoménu in-liniového bruslení některé úseky zvolili nevhodně a nekomfortně pro bruslaře a zřejmě je pro obrovský zájem veřejnosti budeme muset v budoucnu nákladně upravovat.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Co se týká dalších plánů, chceme své stezky udržet kvalitní a cca po 5 letech jejich provozu začínáme již řešit opravy po kalamitách nebo hrboly od kořenů stromů, podrůstajících pod stezkou. Máme připravené projektové dokumentace, které stezky ještě lépe napojí na okolí. Stezky propagujeme v rámci destinační společnosti Orlické hory a Podorlicko a v rámci projektu národních dálkových cyklotras Česko jede. V současné době rozbíháme přes svazek obcí ROT projekt Orlicko – Třebovský bike resort, který terény pro pohodové cyklisty a bruslaře v údolí doplní o jedinečné terény po okolních zalesněných kopcích a hřebenech pro bikery s horskými koly, myslíme i na snadné okruhy pro rodiny s dětmi a začátečníky.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>Podívejte se na web www.orlicko-trebovsko.cz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>Kontakty: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B1176">
        <w:rPr>
          <w:rFonts w:ascii="Arial" w:eastAsia="Times New Roman" w:hAnsi="Arial" w:cs="Arial"/>
          <w:szCs w:val="24"/>
          <w:lang w:eastAsia="cs-CZ"/>
        </w:rPr>
        <w:t xml:space="preserve">RNDr. </w:t>
      </w:r>
      <w:smartTag w:uri="urn:schemas-microsoft-com:office:smarttags" w:element="PersonName">
        <w:smartTagPr>
          <w:attr w:name="ProductID" w:val="Renata Šedová"/>
        </w:smartTagPr>
        <w:r w:rsidRPr="003B1176">
          <w:rPr>
            <w:rFonts w:ascii="Arial" w:eastAsia="Times New Roman" w:hAnsi="Arial" w:cs="Arial"/>
            <w:szCs w:val="24"/>
            <w:lang w:eastAsia="cs-CZ"/>
          </w:rPr>
          <w:t>Renata Šedová</w:t>
        </w:r>
      </w:smartTag>
      <w:r w:rsidRPr="003B1176">
        <w:rPr>
          <w:rFonts w:ascii="Arial" w:eastAsia="Times New Roman" w:hAnsi="Arial" w:cs="Arial"/>
          <w:szCs w:val="24"/>
          <w:lang w:eastAsia="cs-CZ"/>
        </w:rPr>
        <w:t xml:space="preserve">, manažerka projektu, tel. 603 956 870, e-mail </w:t>
      </w:r>
      <w:hyperlink r:id="rId5" w:history="1">
        <w:r w:rsidRPr="003B1176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sedova@ohgs.cz</w:t>
        </w:r>
      </w:hyperlink>
      <w:r w:rsidRPr="003B117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smartTag w:uri="urn:schemas-microsoft-com:office:smarttags" w:element="PersonName">
        <w:smartTagPr>
          <w:attr w:name="ProductID" w:val="Pavel Neumeister"/>
        </w:smartTagPr>
        <w:r w:rsidRPr="003B1176">
          <w:rPr>
            <w:rFonts w:ascii="Arial" w:eastAsia="Times New Roman" w:hAnsi="Arial" w:cs="Arial"/>
            <w:szCs w:val="24"/>
            <w:lang w:eastAsia="cs-CZ"/>
          </w:rPr>
          <w:t>Pavel Neumeister</w:t>
        </w:r>
      </w:smartTag>
      <w:r w:rsidRPr="003B1176">
        <w:rPr>
          <w:rFonts w:ascii="Arial" w:eastAsia="Times New Roman" w:hAnsi="Arial" w:cs="Arial"/>
          <w:szCs w:val="24"/>
          <w:lang w:eastAsia="cs-CZ"/>
        </w:rPr>
        <w:t xml:space="preserve">, manažer provozu, tel. 728 954 976, e-mail </w:t>
      </w:r>
      <w:hyperlink r:id="rId6" w:history="1">
        <w:r w:rsidRPr="003B1176">
          <w:rPr>
            <w:rFonts w:ascii="Arial" w:eastAsia="Times New Roman" w:hAnsi="Arial" w:cs="Arial"/>
            <w:color w:val="0000FF"/>
            <w:szCs w:val="24"/>
            <w:u w:val="single"/>
            <w:lang w:eastAsia="cs-CZ"/>
          </w:rPr>
          <w:t>neumeister@ohgs.cz</w:t>
        </w:r>
      </w:hyperlink>
      <w:r w:rsidRPr="003B1176">
        <w:rPr>
          <w:rFonts w:ascii="Arial" w:eastAsia="Times New Roman" w:hAnsi="Arial" w:cs="Arial"/>
          <w:szCs w:val="24"/>
          <w:lang w:eastAsia="cs-CZ"/>
        </w:rPr>
        <w:t xml:space="preserve"> </w:t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</w:p>
    <w:p w:rsidR="003B1176" w:rsidRPr="003B1176" w:rsidRDefault="002622A9" w:rsidP="003B1176">
      <w:pPr>
        <w:spacing w:after="0" w:line="240" w:lineRule="auto"/>
        <w:jc w:val="center"/>
        <w:rPr>
          <w:rFonts w:ascii="Arial" w:eastAsia="Times New Roman" w:hAnsi="Arial" w:cs="Arial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noProof/>
          <w:szCs w:val="24"/>
          <w:lang w:eastAsia="cs-CZ"/>
        </w:rPr>
        <w:drawing>
          <wp:inline distT="0" distB="0" distL="0" distR="0">
            <wp:extent cx="2560320" cy="1709420"/>
            <wp:effectExtent l="19050" t="0" r="0" b="0"/>
            <wp:docPr id="2" name="obrázek 2" descr="cy1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y1 (6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1176" w:rsidRPr="003B1176">
        <w:rPr>
          <w:rFonts w:ascii="Arial" w:eastAsia="Times New Roman" w:hAnsi="Arial" w:cs="Arial"/>
          <w:szCs w:val="24"/>
          <w:lang w:eastAsia="cs-CZ"/>
        </w:rPr>
        <w:tab/>
      </w:r>
      <w:r>
        <w:rPr>
          <w:rFonts w:ascii="Arial" w:eastAsia="Times New Roman" w:hAnsi="Arial" w:cs="Arial"/>
          <w:noProof/>
          <w:szCs w:val="24"/>
          <w:lang w:eastAsia="cs-CZ"/>
        </w:rPr>
        <w:drawing>
          <wp:inline distT="0" distB="0" distL="0" distR="0">
            <wp:extent cx="2560320" cy="1701800"/>
            <wp:effectExtent l="19050" t="0" r="0" b="0"/>
            <wp:docPr id="3" name="obrázek 3" descr="in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2-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</w:p>
    <w:p w:rsidR="003B1176" w:rsidRPr="003B1176" w:rsidRDefault="002622A9" w:rsidP="003B1176">
      <w:pPr>
        <w:spacing w:after="0" w:line="240" w:lineRule="auto"/>
        <w:jc w:val="center"/>
        <w:rPr>
          <w:rFonts w:ascii="Arial" w:eastAsia="Times New Roman" w:hAnsi="Arial" w:cs="Arial"/>
          <w:szCs w:val="24"/>
          <w:highlight w:val="yellow"/>
          <w:lang w:eastAsia="cs-CZ"/>
        </w:rPr>
      </w:pPr>
      <w:r>
        <w:rPr>
          <w:rFonts w:ascii="Arial" w:eastAsia="Times New Roman" w:hAnsi="Arial" w:cs="Arial"/>
          <w:noProof/>
          <w:szCs w:val="24"/>
          <w:lang w:eastAsia="cs-CZ"/>
        </w:rPr>
        <w:drawing>
          <wp:inline distT="0" distB="0" distL="0" distR="0">
            <wp:extent cx="3061335" cy="2027555"/>
            <wp:effectExtent l="19050" t="0" r="5715" b="0"/>
            <wp:docPr id="1" name="obrázek 1" descr="cy1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1 (11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2027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176" w:rsidRPr="003B1176" w:rsidRDefault="003B1176" w:rsidP="003B1176">
      <w:pPr>
        <w:spacing w:after="0" w:line="240" w:lineRule="auto"/>
        <w:jc w:val="both"/>
        <w:rPr>
          <w:rFonts w:ascii="Arial" w:eastAsia="Times New Roman" w:hAnsi="Arial" w:cs="Arial"/>
          <w:szCs w:val="24"/>
          <w:highlight w:val="yellow"/>
          <w:lang w:eastAsia="cs-CZ"/>
        </w:rPr>
      </w:pPr>
    </w:p>
    <w:p w:rsidR="003B1176" w:rsidRDefault="003B1176"/>
    <w:sectPr w:rsidR="003B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1A"/>
    <w:multiLevelType w:val="hybridMultilevel"/>
    <w:tmpl w:val="1CA66D9A"/>
    <w:lvl w:ilvl="0" w:tplc="678E44A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3B1176"/>
    <w:rsid w:val="002622A9"/>
    <w:rsid w:val="003B1176"/>
    <w:rsid w:val="00F7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umeister@ohgs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dova@ohgs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763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Links>
    <vt:vector size="12" baseType="variant">
      <vt:variant>
        <vt:i4>3276811</vt:i4>
      </vt:variant>
      <vt:variant>
        <vt:i4>3</vt:i4>
      </vt:variant>
      <vt:variant>
        <vt:i4>0</vt:i4>
      </vt:variant>
      <vt:variant>
        <vt:i4>5</vt:i4>
      </vt:variant>
      <vt:variant>
        <vt:lpwstr>mailto:neumeister@ohgs.cz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mailto:sedova@ohgs.cz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Hužera Jiří</dc:creator>
  <cp:lastModifiedBy>admin</cp:lastModifiedBy>
  <cp:revision>2</cp:revision>
  <dcterms:created xsi:type="dcterms:W3CDTF">2014-08-06T23:19:00Z</dcterms:created>
  <dcterms:modified xsi:type="dcterms:W3CDTF">2014-08-06T23:19:00Z</dcterms:modified>
</cp:coreProperties>
</file>