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674113" w14:textId="77777777" w:rsidR="004E4E72" w:rsidRDefault="004E4E72" w:rsidP="007074BC">
      <w:pPr>
        <w:spacing w:line="360" w:lineRule="auto"/>
        <w:rPr>
          <w:b/>
        </w:rPr>
      </w:pPr>
    </w:p>
    <w:p w14:paraId="71382F98" w14:textId="7CB1497E" w:rsidR="00CC5158" w:rsidRDefault="00CC5158" w:rsidP="00CC5158">
      <w:pPr>
        <w:keepNext/>
        <w:spacing w:before="480" w:after="0"/>
        <w:jc w:val="both"/>
        <w:outlineLvl w:val="0"/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</w:pPr>
      <w:r w:rsidRPr="00CC5158">
        <w:rPr>
          <w:rFonts w:ascii="Calibri" w:eastAsia="Times New Roman" w:hAnsi="Calibri" w:cs="Times New Roman"/>
          <w:b/>
          <w:bCs/>
          <w:noProof/>
          <w:color w:val="000000"/>
          <w:kern w:val="36"/>
          <w:sz w:val="26"/>
          <w:szCs w:val="26"/>
          <w:lang w:eastAsia="cs-CZ"/>
        </w:rPr>
        <w:drawing>
          <wp:inline distT="0" distB="0" distL="0" distR="0" wp14:anchorId="76F923F1" wp14:editId="1B05346D">
            <wp:extent cx="2090457" cy="619125"/>
            <wp:effectExtent l="0" t="0" r="5080" b="0"/>
            <wp:docPr id="1" name="Obrázek 1" descr="C:\Users\15772\Desktop\MinFi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5772\Desktop\MinFin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0457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  <w:t xml:space="preserve">   </w:t>
      </w:r>
      <w:r w:rsidR="009144BE"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  <w:t xml:space="preserve">   </w:t>
      </w:r>
      <w:r w:rsidR="00053727">
        <w:rPr>
          <w:rFonts w:ascii="Calibri" w:eastAsia="Times New Roman" w:hAnsi="Calibri" w:cs="Times New Roman"/>
          <w:b/>
          <w:bCs/>
          <w:noProof/>
          <w:color w:val="000000"/>
          <w:kern w:val="36"/>
          <w:sz w:val="26"/>
          <w:szCs w:val="26"/>
          <w:lang w:eastAsia="cs-CZ"/>
        </w:rPr>
        <w:drawing>
          <wp:inline distT="0" distB="0" distL="0" distR="0" wp14:anchorId="385D5D50" wp14:editId="6C3F25F6">
            <wp:extent cx="1853824" cy="400050"/>
            <wp:effectExtent l="0" t="0" r="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MR LOGO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15" cy="400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4BE"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  <w:t xml:space="preserve">        </w:t>
      </w:r>
      <w:r w:rsidR="007F3ABD">
        <w:rPr>
          <w:rFonts w:ascii="Calibri" w:eastAsia="Times New Roman" w:hAnsi="Calibri" w:cs="Times New Roman"/>
          <w:b/>
          <w:bCs/>
          <w:noProof/>
          <w:color w:val="000000"/>
          <w:kern w:val="36"/>
          <w:sz w:val="26"/>
          <w:szCs w:val="26"/>
          <w:lang w:eastAsia="cs-CZ"/>
        </w:rPr>
        <w:drawing>
          <wp:inline distT="0" distB="0" distL="0" distR="0" wp14:anchorId="1E8401B7" wp14:editId="449CFD51">
            <wp:extent cx="901700" cy="678078"/>
            <wp:effectExtent l="0" t="0" r="0" b="825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8288" cy="6830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144BE"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  <w:t xml:space="preserve">         </w:t>
      </w:r>
      <w:r>
        <w:rPr>
          <w:rFonts w:ascii="Calibri" w:eastAsia="Times New Roman" w:hAnsi="Calibri" w:cs="Times New Roman"/>
          <w:b/>
          <w:bCs/>
          <w:color w:val="000000"/>
          <w:kern w:val="36"/>
          <w:sz w:val="26"/>
          <w:szCs w:val="26"/>
        </w:rPr>
        <w:t xml:space="preserve">   </w:t>
      </w:r>
    </w:p>
    <w:p w14:paraId="4861FBBA" w14:textId="77777777" w:rsidR="000B391E" w:rsidRDefault="000B391E" w:rsidP="000B391E">
      <w:pPr>
        <w:pStyle w:val="Nzev"/>
        <w:spacing w:line="360" w:lineRule="auto"/>
        <w:rPr>
          <w:rFonts w:asciiTheme="minorHAnsi" w:hAnsiTheme="minorHAnsi" w:cs="Arial"/>
          <w:sz w:val="24"/>
          <w:szCs w:val="24"/>
        </w:rPr>
      </w:pPr>
    </w:p>
    <w:p w14:paraId="0A857191" w14:textId="77777777" w:rsidR="000B391E" w:rsidRPr="00BA1D84" w:rsidRDefault="000B391E" w:rsidP="000B391E">
      <w:pPr>
        <w:pStyle w:val="Nzev"/>
        <w:spacing w:line="360" w:lineRule="auto"/>
        <w:rPr>
          <w:rFonts w:asciiTheme="minorHAnsi" w:hAnsiTheme="minorHAnsi" w:cs="Arial"/>
          <w:sz w:val="24"/>
          <w:szCs w:val="24"/>
        </w:rPr>
      </w:pPr>
      <w:r w:rsidRPr="00BA1D84">
        <w:rPr>
          <w:rFonts w:asciiTheme="minorHAnsi" w:hAnsiTheme="minorHAnsi" w:cs="Arial"/>
          <w:sz w:val="24"/>
          <w:szCs w:val="24"/>
        </w:rPr>
        <w:t>Pravidla spolufinancování projektů z prostředků EU se změní</w:t>
      </w:r>
    </w:p>
    <w:p w14:paraId="12A8E6A0" w14:textId="5AAE9394" w:rsidR="00BF6710" w:rsidRDefault="000B391E" w:rsidP="00BF6710">
      <w:pPr>
        <w:spacing w:before="120" w:after="240" w:line="360" w:lineRule="auto"/>
        <w:ind w:firstLine="708"/>
        <w:jc w:val="both"/>
        <w:rPr>
          <w:rFonts w:cs="Arial"/>
        </w:rPr>
      </w:pPr>
      <w:r w:rsidRPr="00BA1D84">
        <w:rPr>
          <w:rFonts w:cs="Arial"/>
        </w:rPr>
        <w:t>Přechod do nového programového období 2021-2027 pro projekty financované z prostředků EU sebou přináší nová pravidla spolufinancování.</w:t>
      </w:r>
      <w:r w:rsidR="00BF6710">
        <w:rPr>
          <w:rFonts w:cs="Arial"/>
        </w:rPr>
        <w:t xml:space="preserve"> Změna souvisí se zvýšením bohatství České republiky a jednotlivých jejích regionů, protože na projektech </w:t>
      </w:r>
      <w:r w:rsidRPr="00BA1D84">
        <w:rPr>
          <w:rFonts w:cs="Arial"/>
        </w:rPr>
        <w:t xml:space="preserve">financových z prostředků EU </w:t>
      </w:r>
      <w:r w:rsidR="00BF6710">
        <w:rPr>
          <w:rFonts w:cs="Arial"/>
        </w:rPr>
        <w:t>se evropské peníze podílejí vždy právě</w:t>
      </w:r>
      <w:r w:rsidRPr="00BA1D84">
        <w:rPr>
          <w:rFonts w:cs="Arial"/>
        </w:rPr>
        <w:t xml:space="preserve"> podle rozvinutosti </w:t>
      </w:r>
      <w:r w:rsidR="00BF6710">
        <w:rPr>
          <w:rFonts w:cs="Arial"/>
        </w:rPr>
        <w:t>příslušných území.</w:t>
      </w:r>
      <w:r w:rsidRPr="00BA1D84">
        <w:rPr>
          <w:rFonts w:cs="Arial"/>
        </w:rPr>
        <w:t xml:space="preserve"> </w:t>
      </w:r>
    </w:p>
    <w:p w14:paraId="14B717DC" w14:textId="08BAEE7E" w:rsidR="00031711" w:rsidRDefault="00031711" w:rsidP="00BF6710">
      <w:pPr>
        <w:spacing w:before="120" w:after="240" w:line="360" w:lineRule="auto"/>
        <w:ind w:firstLine="708"/>
        <w:jc w:val="both"/>
        <w:rPr>
          <w:rFonts w:cs="Arial"/>
        </w:rPr>
      </w:pPr>
      <w:r w:rsidRPr="00BA1D84">
        <w:rPr>
          <w:rFonts w:cs="Arial"/>
        </w:rPr>
        <w:t xml:space="preserve">Nová evropská pravidla znamenají </w:t>
      </w:r>
      <w:r w:rsidRPr="00BA1D84">
        <w:rPr>
          <w:rFonts w:cs="Arial"/>
          <w:b/>
        </w:rPr>
        <w:t>zvýšení nároků na národní spolufinancování</w:t>
      </w:r>
      <w:r w:rsidRPr="00BA1D84">
        <w:rPr>
          <w:rFonts w:cs="Arial"/>
        </w:rPr>
        <w:t xml:space="preserve"> projektů a přechod několika českých regionů do nové přechodové kategorie.</w:t>
      </w:r>
      <w:r w:rsidR="00054DDA">
        <w:rPr>
          <w:rFonts w:cs="Arial"/>
        </w:rPr>
        <w:t xml:space="preserve"> Návrh předložený Ministerstvem financí ve spolupráci s Ministerstvem pro místní rozvoj nyní míří do mezirezortního připomínkového řízení.</w:t>
      </w:r>
    </w:p>
    <w:p w14:paraId="27946A6E" w14:textId="5B8553AA" w:rsidR="000B391E" w:rsidRPr="00BA1D84" w:rsidRDefault="00BF6710" w:rsidP="00BF6710">
      <w:pPr>
        <w:spacing w:before="120"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České republice se </w:t>
      </w:r>
      <w:r w:rsidR="00031711">
        <w:rPr>
          <w:rFonts w:cs="Arial"/>
        </w:rPr>
        <w:t xml:space="preserve">přesto </w:t>
      </w:r>
      <w:r>
        <w:rPr>
          <w:rFonts w:cs="Arial"/>
        </w:rPr>
        <w:t>podařilo vyjednat ponechání</w:t>
      </w:r>
      <w:r w:rsidR="000B391E" w:rsidRPr="00BA1D84">
        <w:rPr>
          <w:rFonts w:cs="Arial"/>
        </w:rPr>
        <w:t xml:space="preserve"> 85% podíl</w:t>
      </w:r>
      <w:r>
        <w:rPr>
          <w:rFonts w:cs="Arial"/>
        </w:rPr>
        <w:t>u evropského financování</w:t>
      </w:r>
      <w:r w:rsidR="000B391E" w:rsidRPr="00BA1D84">
        <w:rPr>
          <w:rFonts w:cs="Arial"/>
        </w:rPr>
        <w:t xml:space="preserve"> v méně rozvinutých regionech, </w:t>
      </w:r>
      <w:r w:rsidR="00031711">
        <w:rPr>
          <w:rFonts w:cs="Arial"/>
        </w:rPr>
        <w:t>v nové</w:t>
      </w:r>
      <w:r w:rsidR="000B391E" w:rsidRPr="00BA1D84">
        <w:rPr>
          <w:rFonts w:cs="Arial"/>
        </w:rPr>
        <w:t xml:space="preserve"> kateg</w:t>
      </w:r>
      <w:r w:rsidR="00031711">
        <w:rPr>
          <w:rFonts w:cs="Arial"/>
        </w:rPr>
        <w:t xml:space="preserve">orii tzv. přechodových regionů pak bude podíl EU činit 70 % a </w:t>
      </w:r>
      <w:r w:rsidR="000B391E" w:rsidRPr="00BA1D84">
        <w:rPr>
          <w:rFonts w:cs="Arial"/>
        </w:rPr>
        <w:t xml:space="preserve">u rozvinutějších regionů </w:t>
      </w:r>
      <w:r w:rsidR="00031711">
        <w:rPr>
          <w:rFonts w:cs="Arial"/>
        </w:rPr>
        <w:t xml:space="preserve">byl </w:t>
      </w:r>
      <w:r w:rsidR="000B391E" w:rsidRPr="00BA1D84">
        <w:rPr>
          <w:rFonts w:cs="Arial"/>
        </w:rPr>
        <w:t xml:space="preserve">podíl </w:t>
      </w:r>
      <w:r w:rsidR="00031711">
        <w:rPr>
          <w:rFonts w:cs="Arial"/>
        </w:rPr>
        <w:t xml:space="preserve">snížen </w:t>
      </w:r>
      <w:r w:rsidR="000B391E" w:rsidRPr="00BA1D84">
        <w:rPr>
          <w:rFonts w:cs="Arial"/>
        </w:rPr>
        <w:t xml:space="preserve">z 50 na 40%. </w:t>
      </w:r>
    </w:p>
    <w:p w14:paraId="6B4C32A6" w14:textId="749C6115" w:rsidR="00031711" w:rsidRDefault="000B391E" w:rsidP="00031711">
      <w:pPr>
        <w:spacing w:before="120" w:after="240" w:line="360" w:lineRule="auto"/>
        <w:ind w:firstLine="708"/>
        <w:jc w:val="both"/>
        <w:rPr>
          <w:rFonts w:cs="Arial"/>
          <w:i/>
        </w:rPr>
      </w:pPr>
      <w:r w:rsidRPr="00BA1D84">
        <w:rPr>
          <w:rFonts w:cs="Arial"/>
        </w:rPr>
        <w:t>Ministryně financí Alena Schillerová zdůrazňuje nutnost za</w:t>
      </w:r>
      <w:r w:rsidR="00031711">
        <w:rPr>
          <w:rFonts w:cs="Arial"/>
        </w:rPr>
        <w:t>chovat</w:t>
      </w:r>
      <w:r w:rsidRPr="00BA1D84">
        <w:rPr>
          <w:rFonts w:cs="Arial"/>
        </w:rPr>
        <w:t xml:space="preserve"> rovné podmínky pro příjemce: </w:t>
      </w:r>
      <w:r w:rsidRPr="00BA1D84">
        <w:rPr>
          <w:rFonts w:cs="Arial"/>
          <w:i/>
        </w:rPr>
        <w:t xml:space="preserve">„S novými pravidly dochází k přesunu </w:t>
      </w:r>
      <w:r>
        <w:rPr>
          <w:rFonts w:cs="Arial"/>
          <w:i/>
        </w:rPr>
        <w:t xml:space="preserve">hned tří tuzemských regionů mezi ty, které v evropském měřítku patří mezi bohatší. Zároveň s tím pak Evropská komise vyžaduje v jejich případě </w:t>
      </w:r>
      <w:r w:rsidRPr="00BA1D84">
        <w:rPr>
          <w:rFonts w:cs="Arial"/>
          <w:i/>
        </w:rPr>
        <w:t xml:space="preserve">vyšší podíl národního spolufinancování. </w:t>
      </w:r>
      <w:r>
        <w:rPr>
          <w:rFonts w:cs="Arial"/>
          <w:i/>
        </w:rPr>
        <w:t>Jsem proto ráda</w:t>
      </w:r>
      <w:r w:rsidRPr="00BA1D84">
        <w:rPr>
          <w:rFonts w:cs="Arial"/>
          <w:i/>
        </w:rPr>
        <w:t xml:space="preserve">, </w:t>
      </w:r>
      <w:r>
        <w:rPr>
          <w:rFonts w:cs="Arial"/>
          <w:i/>
        </w:rPr>
        <w:t xml:space="preserve">že jsme se se zástupci </w:t>
      </w:r>
      <w:r w:rsidR="00053727">
        <w:rPr>
          <w:rFonts w:cs="Arial"/>
          <w:i/>
        </w:rPr>
        <w:t xml:space="preserve">samospráv </w:t>
      </w:r>
      <w:r>
        <w:rPr>
          <w:rFonts w:cs="Arial"/>
          <w:i/>
        </w:rPr>
        <w:t xml:space="preserve">dohodli, že na národní úrovni nadále nebudeme regiony s výjimkou Prahy rozdělovat na chudé a bohaté a zachováme jednotný přístup </w:t>
      </w:r>
      <w:r w:rsidRPr="00BA1D84">
        <w:rPr>
          <w:rFonts w:cs="Arial"/>
          <w:i/>
        </w:rPr>
        <w:t>ke všem příjemcům bez ohledu na region.</w:t>
      </w:r>
      <w:r>
        <w:rPr>
          <w:rFonts w:cs="Arial"/>
          <w:i/>
        </w:rPr>
        <w:t xml:space="preserve"> Chceme, aby evropské financování na národní úrovni zůstalo jednotné a přehledné, ve výsledku z toho budou těžit především příjemci evropských peněz,“ </w:t>
      </w:r>
      <w:r w:rsidRPr="00F31EE3">
        <w:rPr>
          <w:rFonts w:cs="Arial"/>
        </w:rPr>
        <w:t>připomíná ministryně financí.</w:t>
      </w:r>
      <w:r>
        <w:rPr>
          <w:rFonts w:cs="Arial"/>
          <w:i/>
        </w:rPr>
        <w:t xml:space="preserve"> </w:t>
      </w:r>
    </w:p>
    <w:p w14:paraId="750452A8" w14:textId="77777777" w:rsidR="007E27C0" w:rsidRDefault="007E27C0" w:rsidP="007E27C0">
      <w:pPr>
        <w:spacing w:line="360" w:lineRule="auto"/>
        <w:ind w:firstLine="709"/>
      </w:pPr>
      <w:r w:rsidRPr="007E27C0">
        <w:t>„</w:t>
      </w:r>
      <w:r w:rsidRPr="007E27C0">
        <w:rPr>
          <w:i/>
          <w:iCs/>
        </w:rPr>
        <w:t xml:space="preserve">Státní rozpočet tak významně pomůže obcím, krajům jakožto i jiným žadatelům nadále realizovat evropské projekty, a </w:t>
      </w:r>
      <w:bookmarkStart w:id="0" w:name="_GoBack"/>
      <w:bookmarkEnd w:id="0"/>
      <w:r w:rsidRPr="007E27C0">
        <w:rPr>
          <w:i/>
          <w:iCs/>
        </w:rPr>
        <w:t>to i přes pokles příspěvku z evropských fondů pro jižní část republiky a Středočeský kraj. Budeme i tak nadále ve velké míře podporovat projekty na rekonstrukci škol, školek, našeho kulturního dědictví, ale také silnic, nemocnic či vybavení Integrovaného záchranného systému. To je dobrá zpráva směrem k rozvoji všech regionů, obcí a  měst v ČR</w:t>
      </w:r>
      <w:r w:rsidRPr="007E27C0">
        <w:t>,“ uvedla ministryně pro místní rozvoj Klára Dostálová.</w:t>
      </w:r>
    </w:p>
    <w:p w14:paraId="2E454A7B" w14:textId="77777777" w:rsidR="007E27C0" w:rsidRDefault="007E27C0" w:rsidP="00031711">
      <w:pPr>
        <w:spacing w:before="120" w:after="240" w:line="360" w:lineRule="auto"/>
        <w:ind w:firstLine="708"/>
        <w:jc w:val="both"/>
        <w:rPr>
          <w:rFonts w:cs="Arial"/>
          <w:i/>
        </w:rPr>
      </w:pPr>
    </w:p>
    <w:p w14:paraId="6FB5FB42" w14:textId="49F1D0B4" w:rsidR="00054DDA" w:rsidRPr="00054DDA" w:rsidRDefault="00054DDA" w:rsidP="00031711">
      <w:pPr>
        <w:spacing w:before="120"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Návrh nových pravidel oceňuje předseda Svazu města a obcí </w:t>
      </w:r>
      <w:r w:rsidR="00E230BB">
        <w:rPr>
          <w:rFonts w:cs="Arial"/>
        </w:rPr>
        <w:t xml:space="preserve">ČR </w:t>
      </w:r>
      <w:r>
        <w:rPr>
          <w:rFonts w:cs="Arial"/>
        </w:rPr>
        <w:t xml:space="preserve">František </w:t>
      </w:r>
      <w:proofErr w:type="spellStart"/>
      <w:r>
        <w:rPr>
          <w:rFonts w:cs="Arial"/>
        </w:rPr>
        <w:t>Lukl</w:t>
      </w:r>
      <w:proofErr w:type="spellEnd"/>
      <w:r>
        <w:rPr>
          <w:rFonts w:cs="Arial"/>
        </w:rPr>
        <w:t xml:space="preserve">. </w:t>
      </w:r>
      <w:r w:rsidRPr="00054DDA">
        <w:rPr>
          <w:rFonts w:cs="Arial"/>
          <w:i/>
        </w:rPr>
        <w:t>„</w:t>
      </w:r>
      <w:r>
        <w:rPr>
          <w:rFonts w:cs="Arial"/>
          <w:i/>
        </w:rPr>
        <w:t xml:space="preserve">Návrh pravidel pro nové programové období považuji ze strany státu vůči obcím a městům za velmi vstřícný a opravdu partnerský. Je to model, který představuje pevný základ pro výstavbu investičních projektů samospráv v rámci nového programového období“, </w:t>
      </w:r>
      <w:r w:rsidRPr="00054DDA">
        <w:rPr>
          <w:rFonts w:cs="Arial"/>
        </w:rPr>
        <w:t xml:space="preserve">řekl František </w:t>
      </w:r>
      <w:proofErr w:type="spellStart"/>
      <w:r w:rsidRPr="00054DDA">
        <w:rPr>
          <w:rFonts w:cs="Arial"/>
        </w:rPr>
        <w:t>Lukl</w:t>
      </w:r>
      <w:proofErr w:type="spellEnd"/>
      <w:r w:rsidRPr="00054DDA">
        <w:rPr>
          <w:rFonts w:cs="Arial"/>
        </w:rPr>
        <w:t>.</w:t>
      </w:r>
      <w:r>
        <w:rPr>
          <w:rFonts w:cs="Arial"/>
          <w:i/>
        </w:rPr>
        <w:t xml:space="preserve"> </w:t>
      </w:r>
    </w:p>
    <w:p w14:paraId="08EA7FCA" w14:textId="77777777" w:rsidR="000B391E" w:rsidRPr="00BA1D84" w:rsidRDefault="000B391E" w:rsidP="000B391E">
      <w:pPr>
        <w:spacing w:before="120" w:after="240" w:line="360" w:lineRule="auto"/>
        <w:jc w:val="both"/>
        <w:rPr>
          <w:rFonts w:cs="Arial"/>
        </w:rPr>
      </w:pPr>
    </w:p>
    <w:p w14:paraId="3C2710D6" w14:textId="749DB5AF" w:rsidR="000B391E" w:rsidRDefault="000B391E" w:rsidP="000B391E">
      <w:pPr>
        <w:spacing w:before="120" w:after="240" w:line="360" w:lineRule="auto"/>
        <w:jc w:val="both"/>
        <w:rPr>
          <w:rFonts w:cs="Arial"/>
        </w:rPr>
      </w:pPr>
      <w:r w:rsidRPr="00BA1D84">
        <w:rPr>
          <w:rFonts w:cs="Arial"/>
          <w:noProof/>
          <w:lang w:eastAsia="cs-CZ"/>
        </w:rPr>
        <w:drawing>
          <wp:inline distT="0" distB="0" distL="0" distR="0" wp14:anchorId="6D7BFE0F" wp14:editId="48CE89FF">
            <wp:extent cx="5750560" cy="2651125"/>
            <wp:effectExtent l="0" t="0" r="254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0560" cy="265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C8F9F6E" w14:textId="6E593793" w:rsidR="00031711" w:rsidRPr="00054DDA" w:rsidRDefault="00031711" w:rsidP="00054DDA">
      <w:pPr>
        <w:spacing w:before="120" w:after="240" w:line="360" w:lineRule="auto"/>
        <w:ind w:firstLine="708"/>
        <w:jc w:val="both"/>
        <w:rPr>
          <w:rFonts w:eastAsia="Times New Roman" w:cs="Arial"/>
          <w:bCs/>
          <w:lang w:eastAsia="cs-CZ"/>
        </w:rPr>
      </w:pPr>
      <w:r w:rsidRPr="00031711">
        <w:rPr>
          <w:rFonts w:eastAsia="Times New Roman" w:cs="Arial"/>
          <w:bCs/>
          <w:lang w:eastAsia="cs-CZ"/>
        </w:rPr>
        <w:t xml:space="preserve">Pro příjemce byly stanoveny minimální podíly na financování projektů, tedy příjemci budou platit z celého projektu v případě mateřských, základních a středních škol pouze 5 % - 10 %, v případě veřejných vysokých škol, vědeckých a výzkumných institucí a příjemců vykonávajících veřejně prospěšnou činnost nebo realizujících územní dimenzi 5 %, v případě obcí, krajů a jejich příspěvkových organizací (s výjimkou škol) 15 %. V hlavním městě Praha se účast státního rozpočtu na financování projektů předpokládá pro školy, vědecké a výzkumné instituce a příjemce vykonávající veřejně prospěšnou činnost. </w:t>
      </w:r>
    </w:p>
    <w:p w14:paraId="2520D0DB" w14:textId="14B0E895" w:rsidR="009144BE" w:rsidRDefault="000B391E" w:rsidP="00031711">
      <w:pPr>
        <w:spacing w:before="120" w:after="240" w:line="360" w:lineRule="auto"/>
        <w:ind w:firstLine="708"/>
        <w:jc w:val="both"/>
        <w:rPr>
          <w:rFonts w:cs="Arial"/>
        </w:rPr>
      </w:pPr>
      <w:r>
        <w:rPr>
          <w:rFonts w:cs="Arial"/>
        </w:rPr>
        <w:t xml:space="preserve">Zatímco v končícím programovém období představoval odhad sumy vynakládané na národní spolufinancování ze státního rozpočtu 59,7 mld. Kč, nově půjde o 66,2 mld. Kč. Státní rozpočet tak vynaloží o 6,5 mld. Kč více. </w:t>
      </w:r>
    </w:p>
    <w:p w14:paraId="61D760D6" w14:textId="77777777" w:rsidR="00031711" w:rsidRPr="00031711" w:rsidRDefault="00031711" w:rsidP="00031711">
      <w:pPr>
        <w:spacing w:before="120" w:after="240" w:line="360" w:lineRule="auto"/>
        <w:ind w:firstLine="708"/>
        <w:jc w:val="both"/>
        <w:rPr>
          <w:rFonts w:cs="Arial"/>
        </w:rPr>
      </w:pPr>
    </w:p>
    <w:sectPr w:rsidR="00031711" w:rsidRPr="00031711" w:rsidSect="007074BC">
      <w:pgSz w:w="11906" w:h="16838"/>
      <w:pgMar w:top="851" w:right="1558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F3"/>
    <w:rsid w:val="00031711"/>
    <w:rsid w:val="00052DB6"/>
    <w:rsid w:val="00053727"/>
    <w:rsid w:val="00054DDA"/>
    <w:rsid w:val="000B115E"/>
    <w:rsid w:val="000B391E"/>
    <w:rsid w:val="001A44F6"/>
    <w:rsid w:val="00252CC6"/>
    <w:rsid w:val="002B3762"/>
    <w:rsid w:val="00426EDB"/>
    <w:rsid w:val="0044615C"/>
    <w:rsid w:val="0047315F"/>
    <w:rsid w:val="004E4E72"/>
    <w:rsid w:val="004E50FB"/>
    <w:rsid w:val="004E660F"/>
    <w:rsid w:val="00523D68"/>
    <w:rsid w:val="00545066"/>
    <w:rsid w:val="00551116"/>
    <w:rsid w:val="00555A1E"/>
    <w:rsid w:val="0055759D"/>
    <w:rsid w:val="00586D54"/>
    <w:rsid w:val="0059708A"/>
    <w:rsid w:val="00597B35"/>
    <w:rsid w:val="005C1A25"/>
    <w:rsid w:val="00641D37"/>
    <w:rsid w:val="00656CE1"/>
    <w:rsid w:val="006712A0"/>
    <w:rsid w:val="00674535"/>
    <w:rsid w:val="006F47FB"/>
    <w:rsid w:val="007074BC"/>
    <w:rsid w:val="007B3CB0"/>
    <w:rsid w:val="007E27C0"/>
    <w:rsid w:val="007F3ABD"/>
    <w:rsid w:val="008123E3"/>
    <w:rsid w:val="008B7A7E"/>
    <w:rsid w:val="008E4553"/>
    <w:rsid w:val="009144BE"/>
    <w:rsid w:val="00A33EDB"/>
    <w:rsid w:val="00AE2F2B"/>
    <w:rsid w:val="00B8330B"/>
    <w:rsid w:val="00B91DF3"/>
    <w:rsid w:val="00BF6710"/>
    <w:rsid w:val="00C666D4"/>
    <w:rsid w:val="00C956C1"/>
    <w:rsid w:val="00C97C7E"/>
    <w:rsid w:val="00CA7074"/>
    <w:rsid w:val="00CC41E4"/>
    <w:rsid w:val="00CC5158"/>
    <w:rsid w:val="00D80AB2"/>
    <w:rsid w:val="00D9137B"/>
    <w:rsid w:val="00DE1AF0"/>
    <w:rsid w:val="00E230BB"/>
    <w:rsid w:val="00E334BB"/>
    <w:rsid w:val="00EE3CC4"/>
    <w:rsid w:val="00EF0A21"/>
    <w:rsid w:val="00F53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4F5CEC"/>
  <w15:docId w15:val="{6F9676AC-C287-48C7-B222-463EFD0E2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C41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C41E4"/>
    <w:rPr>
      <w:rFonts w:ascii="Tahoma" w:hAnsi="Tahoma" w:cs="Tahoma"/>
      <w:sz w:val="16"/>
      <w:szCs w:val="16"/>
    </w:rPr>
  </w:style>
  <w:style w:type="paragraph" w:customStyle="1" w:styleId="Zkladntext21">
    <w:name w:val="Základní text 21"/>
    <w:basedOn w:val="Normln"/>
    <w:rsid w:val="006712A0"/>
    <w:pPr>
      <w:overflowPunct w:val="0"/>
      <w:autoSpaceDE w:val="0"/>
      <w:autoSpaceDN w:val="0"/>
      <w:adjustRightInd w:val="0"/>
      <w:spacing w:before="120" w:after="0" w:line="36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xl27">
    <w:name w:val="xl27"/>
    <w:basedOn w:val="Normln"/>
    <w:rsid w:val="006712A0"/>
    <w:pPr>
      <w:pBdr>
        <w:left w:val="single" w:sz="6" w:space="0" w:color="auto"/>
        <w:right w:val="single" w:sz="6" w:space="0" w:color="auto"/>
      </w:pBdr>
      <w:overflowPunct w:val="0"/>
      <w:autoSpaceDE w:val="0"/>
      <w:autoSpaceDN w:val="0"/>
      <w:adjustRightInd w:val="0"/>
      <w:spacing w:before="100" w:after="100" w:line="240" w:lineRule="auto"/>
      <w:jc w:val="center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pramen">
    <w:name w:val="pramen"/>
    <w:basedOn w:val="Normln"/>
    <w:qFormat/>
    <w:rsid w:val="006712A0"/>
    <w:pPr>
      <w:overflowPunct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523D68"/>
    <w:rPr>
      <w:color w:val="0000FF"/>
      <w:u w:val="single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C97C7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C97C7E"/>
    <w:rPr>
      <w:rFonts w:ascii="Consolas" w:hAnsi="Consolas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0B391E"/>
    <w:pPr>
      <w:spacing w:before="240" w:after="60" w:line="240" w:lineRule="auto"/>
      <w:jc w:val="center"/>
      <w:outlineLvl w:val="0"/>
    </w:pPr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rsid w:val="000B391E"/>
    <w:rPr>
      <w:rFonts w:ascii="Calibri Light" w:eastAsia="Times New Roman" w:hAnsi="Calibri Light" w:cs="Times New Roman"/>
      <w:b/>
      <w:bCs/>
      <w:kern w:val="28"/>
      <w:sz w:val="32"/>
      <w:szCs w:val="32"/>
      <w:lang w:eastAsia="cs-CZ"/>
    </w:rPr>
  </w:style>
  <w:style w:type="paragraph" w:customStyle="1" w:styleId="CharCharCharChar">
    <w:name w:val="Char Char Char Char"/>
    <w:basedOn w:val="Normln"/>
    <w:rsid w:val="0003171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22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AAE6F-C4D6-4A54-896C-57A600E655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489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Polanský Pavel Mgr.</dc:creator>
  <cp:lastModifiedBy>Frček Vilém</cp:lastModifiedBy>
  <cp:revision>2</cp:revision>
  <cp:lastPrinted>2016-08-31T12:06:00Z</cp:lastPrinted>
  <dcterms:created xsi:type="dcterms:W3CDTF">2021-01-14T13:00:00Z</dcterms:created>
  <dcterms:modified xsi:type="dcterms:W3CDTF">2021-01-14T13:00:00Z</dcterms:modified>
</cp:coreProperties>
</file>