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B0D3" w14:textId="77777777" w:rsidR="00F13537" w:rsidRDefault="00F13537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AD1C9" w14:textId="6BAED8E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="007743B9" w:rsidRPr="007743B9">
        <w:rPr>
          <w:rFonts w:ascii="Arial" w:hAnsi="Arial" w:cs="Arial"/>
        </w:rPr>
        <w:t>MV-166081/VZ-2020</w:t>
      </w:r>
    </w:p>
    <w:p w14:paraId="18EEF752" w14:textId="79DE634A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BC63F0">
        <w:rPr>
          <w:rFonts w:ascii="Arial" w:hAnsi="Arial" w:cs="Arial"/>
        </w:rPr>
        <w:t>Pověřujícího z</w:t>
      </w:r>
      <w:r>
        <w:rPr>
          <w:rFonts w:ascii="Arial" w:hAnsi="Arial" w:cs="Arial"/>
        </w:rPr>
        <w:t xml:space="preserve">adavatele: </w:t>
      </w:r>
      <w:r w:rsidR="009F775C">
        <w:rPr>
          <w:rFonts w:ascii="Arial" w:hAnsi="Arial" w:cs="Arial"/>
          <w:highlight w:val="yellow"/>
        </w:rPr>
        <w:fldChar w:fldCharType="begin">
          <w:ffData>
            <w:name w:val="Text57"/>
            <w:enabled/>
            <w:calcOnExit w:val="0"/>
            <w:textInput>
              <w:default w:val="[DOPLNÍ POVĚŘUJÍCÍ ZADAVATEL]"/>
            </w:textInput>
          </w:ffData>
        </w:fldChar>
      </w:r>
      <w:bookmarkStart w:id="0" w:name="Text57"/>
      <w:r w:rsidR="009F775C">
        <w:rPr>
          <w:rFonts w:ascii="Arial" w:hAnsi="Arial" w:cs="Arial"/>
          <w:highlight w:val="yellow"/>
        </w:rPr>
        <w:instrText xml:space="preserve"> FORMTEXT </w:instrText>
      </w:r>
      <w:r w:rsidR="009F775C">
        <w:rPr>
          <w:rFonts w:ascii="Arial" w:hAnsi="Arial" w:cs="Arial"/>
          <w:highlight w:val="yellow"/>
        </w:rPr>
      </w:r>
      <w:r w:rsidR="009F775C">
        <w:rPr>
          <w:rFonts w:ascii="Arial" w:hAnsi="Arial" w:cs="Arial"/>
          <w:highlight w:val="yellow"/>
        </w:rPr>
        <w:fldChar w:fldCharType="separate"/>
      </w:r>
      <w:r w:rsidR="009F775C">
        <w:rPr>
          <w:rFonts w:ascii="Arial" w:hAnsi="Arial" w:cs="Arial"/>
          <w:noProof/>
          <w:highlight w:val="yellow"/>
        </w:rPr>
        <w:t>[DOPLNÍ POVĚŘUJÍCÍ ZADAVATEL]</w:t>
      </w:r>
      <w:r w:rsidR="009F775C">
        <w:rPr>
          <w:rFonts w:ascii="Arial" w:hAnsi="Arial" w:cs="Arial"/>
          <w:highlight w:val="yellow"/>
        </w:rPr>
        <w:fldChar w:fldCharType="end"/>
      </w:r>
      <w:bookmarkEnd w:id="0"/>
    </w:p>
    <w:p w14:paraId="2292BC77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54D321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349824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D805B" w14:textId="06E96494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o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14:paraId="5FF216BF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14:paraId="655F889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89FBE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4F20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268EC6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24028A8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2648FFF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71F94" w14:paraId="10B1D88C" w14:textId="77777777" w:rsidTr="00371F94">
        <w:tc>
          <w:tcPr>
            <w:tcW w:w="9210" w:type="dxa"/>
            <w:hideMark/>
          </w:tcPr>
          <w:p w14:paraId="56F4F0BE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14:paraId="0DC49154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14:paraId="4907F0FF" w14:textId="13563054" w:rsidR="00371F94" w:rsidRDefault="00DB2D8A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jejímž jménem jedná:</w:t>
            </w:r>
            <w:r w:rsidR="00110D48">
              <w:rPr>
                <w:rFonts w:ascii="Arial" w:hAnsi="Arial" w:cs="Arial"/>
              </w:rPr>
              <w:t xml:space="preserve"> Mgr. </w:t>
            </w:r>
            <w:r w:rsidR="00962532">
              <w:rPr>
                <w:rFonts w:ascii="Arial" w:hAnsi="Arial" w:cs="Arial"/>
              </w:rPr>
              <w:t xml:space="preserve">Lenka Přibová, ředitelka </w:t>
            </w:r>
            <w:r w:rsidR="00110D48">
              <w:rPr>
                <w:rFonts w:ascii="Arial" w:hAnsi="Arial" w:cs="Arial"/>
              </w:rPr>
              <w:t>odboru veřejných zakázek</w:t>
            </w:r>
          </w:p>
          <w:p w14:paraId="50B54A4A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14:paraId="55EFE90D" w14:textId="54BC630E" w:rsidR="00371F94" w:rsidRDefault="00E15736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6bnaaw</w:t>
            </w:r>
            <w:r w:rsidR="00371F94">
              <w:rPr>
                <w:rFonts w:ascii="Arial" w:hAnsi="Arial" w:cs="Arial"/>
              </w:rPr>
              <w:t>p</w:t>
            </w:r>
          </w:p>
          <w:p w14:paraId="6FCC6E56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371F94" w14:paraId="73303248" w14:textId="77777777" w:rsidTr="00371F94">
        <w:tc>
          <w:tcPr>
            <w:tcW w:w="9210" w:type="dxa"/>
          </w:tcPr>
          <w:p w14:paraId="11CD3DB7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55A91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F94" w14:paraId="0BF9D6D7" w14:textId="77777777" w:rsidTr="00371F94">
        <w:tc>
          <w:tcPr>
            <w:tcW w:w="9210" w:type="dxa"/>
          </w:tcPr>
          <w:p w14:paraId="1B05EA8C" w14:textId="33C63B06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F5D0E">
              <w:rPr>
                <w:rFonts w:ascii="Arial" w:hAnsi="Arial" w:cs="Arial"/>
                <w:b/>
              </w:rPr>
              <w:t xml:space="preserve"> a </w:t>
            </w:r>
            <w:r>
              <w:rPr>
                <w:rFonts w:ascii="Arial" w:hAnsi="Arial" w:cs="Arial"/>
                <w:b/>
              </w:rPr>
              <w:t>-</w:t>
            </w:r>
          </w:p>
          <w:p w14:paraId="4D03B009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85256F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71F94" w14:paraId="7D0EA3FC" w14:textId="77777777" w:rsidTr="00371F94">
        <w:tc>
          <w:tcPr>
            <w:tcW w:w="9210" w:type="dxa"/>
          </w:tcPr>
          <w:p w14:paraId="0AB39C79" w14:textId="0C85273C" w:rsidR="00371F94" w:rsidRDefault="009F775C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highlight w:val="yellow"/>
              </w:rPr>
            </w:r>
            <w:r>
              <w:rPr>
                <w:rFonts w:ascii="Arial" w:hAnsi="Arial" w:cs="Arial"/>
                <w:b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highlight w:val="yellow"/>
              </w:rPr>
              <w:t>[DOPLNÍ POVĚŘUJÍCÍ ZADAVATEL]</w:t>
            </w:r>
            <w:r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  <w:p w14:paraId="2786816F" w14:textId="7B1E39A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sídlem: </w:t>
            </w:r>
            <w:r w:rsidR="009F775C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="009F775C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="009F775C">
              <w:rPr>
                <w:rFonts w:ascii="Arial" w:hAnsi="Arial" w:cs="Arial"/>
                <w:highlight w:val="yellow"/>
              </w:rPr>
            </w:r>
            <w:r w:rsidR="009F775C">
              <w:rPr>
                <w:rFonts w:ascii="Arial" w:hAnsi="Arial" w:cs="Arial"/>
                <w:highlight w:val="yellow"/>
              </w:rPr>
              <w:fldChar w:fldCharType="separate"/>
            </w:r>
            <w:r w:rsidR="009F775C"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 w:rsidR="009F775C">
              <w:rPr>
                <w:rFonts w:ascii="Arial" w:hAnsi="Arial" w:cs="Arial"/>
                <w:highlight w:val="yellow"/>
              </w:rPr>
              <w:fldChar w:fldCharType="end"/>
            </w:r>
          </w:p>
          <w:p w14:paraId="6E2050FE" w14:textId="735BAFA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jejímž jménem jedná: </w:t>
            </w:r>
            <w:r w:rsidR="009F775C">
              <w:rPr>
                <w:rFonts w:ascii="Arial" w:hAnsi="Arial" w:cs="Arial"/>
                <w:highlight w:val="yellow"/>
              </w:rPr>
              <w:t>[</w:t>
            </w:r>
            <w:r w:rsidR="009F775C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="009F775C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="009F775C">
              <w:rPr>
                <w:rFonts w:ascii="Arial" w:hAnsi="Arial" w:cs="Arial"/>
                <w:highlight w:val="yellow"/>
              </w:rPr>
            </w:r>
            <w:r w:rsidR="009F775C">
              <w:rPr>
                <w:rFonts w:ascii="Arial" w:hAnsi="Arial" w:cs="Arial"/>
                <w:highlight w:val="yellow"/>
              </w:rPr>
              <w:fldChar w:fldCharType="separate"/>
            </w:r>
            <w:r w:rsidR="009F775C"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 w:rsidR="009F775C">
              <w:rPr>
                <w:rFonts w:ascii="Arial" w:hAnsi="Arial" w:cs="Arial"/>
                <w:highlight w:val="yellow"/>
              </w:rPr>
              <w:fldChar w:fldCharType="end"/>
            </w:r>
            <w:r w:rsidR="009F775C">
              <w:rPr>
                <w:rFonts w:ascii="Arial" w:hAnsi="Arial" w:cs="Arial"/>
                <w:highlight w:val="yellow"/>
              </w:rPr>
              <w:t xml:space="preserve"> - jméno], [</w:t>
            </w:r>
            <w:r w:rsidR="009F775C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="009F775C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="009F775C">
              <w:rPr>
                <w:rFonts w:ascii="Arial" w:hAnsi="Arial" w:cs="Arial"/>
                <w:highlight w:val="yellow"/>
              </w:rPr>
            </w:r>
            <w:r w:rsidR="009F775C">
              <w:rPr>
                <w:rFonts w:ascii="Arial" w:hAnsi="Arial" w:cs="Arial"/>
                <w:highlight w:val="yellow"/>
              </w:rPr>
              <w:fldChar w:fldCharType="separate"/>
            </w:r>
            <w:r w:rsidR="009F775C"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 w:rsidR="009F775C">
              <w:rPr>
                <w:rFonts w:ascii="Arial" w:hAnsi="Arial" w:cs="Arial"/>
                <w:highlight w:val="yellow"/>
              </w:rPr>
              <w:fldChar w:fldCharType="end"/>
            </w:r>
            <w:r>
              <w:rPr>
                <w:rFonts w:ascii="Arial" w:hAnsi="Arial" w:cs="Arial"/>
                <w:highlight w:val="yellow"/>
              </w:rPr>
              <w:t xml:space="preserve"> - funkce]</w:t>
            </w:r>
            <w:r>
              <w:rPr>
                <w:rFonts w:ascii="Arial" w:hAnsi="Arial" w:cs="Arial"/>
              </w:rPr>
              <w:t xml:space="preserve"> </w:t>
            </w:r>
          </w:p>
          <w:p w14:paraId="68D02006" w14:textId="2F65BE3D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IČO: </w:t>
            </w:r>
            <w:r w:rsidR="009F775C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="009F775C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="009F775C">
              <w:rPr>
                <w:rFonts w:ascii="Arial" w:hAnsi="Arial" w:cs="Arial"/>
                <w:highlight w:val="yellow"/>
              </w:rPr>
            </w:r>
            <w:r w:rsidR="009F775C">
              <w:rPr>
                <w:rFonts w:ascii="Arial" w:hAnsi="Arial" w:cs="Arial"/>
                <w:highlight w:val="yellow"/>
              </w:rPr>
              <w:fldChar w:fldCharType="separate"/>
            </w:r>
            <w:r w:rsidR="009F775C"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 w:rsidR="009F775C">
              <w:rPr>
                <w:rFonts w:ascii="Arial" w:hAnsi="Arial" w:cs="Arial"/>
                <w:highlight w:val="yellow"/>
              </w:rPr>
              <w:fldChar w:fldCharType="end"/>
            </w:r>
          </w:p>
          <w:p w14:paraId="13697AD9" w14:textId="63EEC7B1" w:rsidR="00371F94" w:rsidRDefault="009F775C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  <w:p w14:paraId="509A8330" w14:textId="37BBB0AF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 w:rsidR="00E6653D" w:rsidRPr="005D5880">
              <w:rPr>
                <w:rFonts w:ascii="Arial" w:hAnsi="Arial" w:cs="Arial"/>
                <w:b/>
              </w:rPr>
              <w:t>Pověřující z</w:t>
            </w:r>
            <w:r>
              <w:rPr>
                <w:rFonts w:ascii="Arial" w:hAnsi="Arial" w:cs="Arial"/>
                <w:b/>
              </w:rPr>
              <w:t>adavatel</w:t>
            </w:r>
            <w:r>
              <w:rPr>
                <w:rFonts w:ascii="Arial" w:hAnsi="Arial" w:cs="Arial"/>
              </w:rPr>
              <w:t>“)</w:t>
            </w:r>
          </w:p>
          <w:p w14:paraId="52A7B6A8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172C4B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794311" w14:textId="7DD3EF17" w:rsidR="00371F94" w:rsidRDefault="00371F94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</w:t>
            </w:r>
            <w:r w:rsidR="009F5D0E">
              <w:rPr>
                <w:rFonts w:ascii="Arial" w:hAnsi="Arial" w:cs="Arial"/>
              </w:rPr>
              <w:t xml:space="preserve"> a </w:t>
            </w:r>
            <w:r w:rsidR="008903AD">
              <w:rPr>
                <w:rFonts w:ascii="Arial" w:hAnsi="Arial" w:cs="Arial"/>
              </w:rPr>
              <w:t>Pověřující zadavatel dále</w:t>
            </w:r>
            <w:r>
              <w:rPr>
                <w:rFonts w:ascii="Arial" w:hAnsi="Arial" w:cs="Arial"/>
              </w:rPr>
              <w:t xml:space="preserve"> společně </w:t>
            </w:r>
            <w:r w:rsidR="008903AD">
              <w:rPr>
                <w:rFonts w:ascii="Arial" w:hAnsi="Arial" w:cs="Arial"/>
              </w:rPr>
              <w:t xml:space="preserve">jen 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14:paraId="35B5FF52" w14:textId="418EBA52" w:rsidR="00371F94" w:rsidRDefault="00371F94" w:rsidP="00B329CA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14:paraId="2210C189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14:paraId="77DD68F4" w14:textId="77777777" w:rsidR="00371F94" w:rsidRDefault="00371F94" w:rsidP="00B329CA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14:paraId="04103DB9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C9707" w14:textId="00EB82B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TOMU, ŽE:</w:t>
      </w:r>
    </w:p>
    <w:p w14:paraId="29DAE9EB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4E4CB84F" w14:textId="4445BED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12 odst.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 zákona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č.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2/1969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zřízení ministerstev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jiných ústředních orgánů státní správy České republiky, ve znění pozdějších předpisů, ústředním orgánem státní správy pro vnitřní věci,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mimo jiné plní koordinační úlohu pro informační</w:t>
      </w:r>
      <w:r w:rsidR="009F5D0E">
        <w:rPr>
          <w:rFonts w:cs="Arial"/>
          <w:szCs w:val="22"/>
        </w:rPr>
        <w:t xml:space="preserve"> a </w:t>
      </w:r>
      <w:r w:rsidR="00305B25">
        <w:rPr>
          <w:rFonts w:cs="Arial"/>
          <w:szCs w:val="22"/>
        </w:rPr>
        <w:t>komunikační technologie.</w:t>
      </w:r>
    </w:p>
    <w:p w14:paraId="704783AA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14:paraId="02931037" w14:textId="3F55A9A0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 w:rsidR="009F5D0E"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14:paraId="5EE1C068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159F38FE" w14:textId="291E8859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 w:rsidR="009F5D0E"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 w:rsidR="009F5D0E">
        <w:rPr>
          <w:rFonts w:cs="Arial"/>
          <w:szCs w:val="22"/>
        </w:rPr>
        <w:t xml:space="preserve"> k </w:t>
      </w:r>
      <w:r w:rsidR="009F775C">
        <w:rPr>
          <w:rFonts w:cs="Arial"/>
          <w:szCs w:val="22"/>
        </w:rPr>
        <w:t>produktům společnosti IBM</w:t>
      </w:r>
      <w:r w:rsidRPr="00B34A0F">
        <w:rPr>
          <w:rFonts w:cs="Arial"/>
          <w:szCs w:val="22"/>
        </w:rPr>
        <w:t>.</w:t>
      </w:r>
    </w:p>
    <w:p w14:paraId="185A1F46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546E8058" w14:textId="5EFBD12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>
        <w:rPr>
          <w:rFonts w:cs="Arial"/>
          <w:szCs w:val="22"/>
        </w:rPr>
        <w:t>.</w:t>
      </w:r>
    </w:p>
    <w:p w14:paraId="2E3E877D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2FE07FE2" w14:textId="4A708FB0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zadáváním.</w:t>
      </w:r>
    </w:p>
    <w:p w14:paraId="5296C0CA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6EEE5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14:paraId="46BB0541" w14:textId="77777777"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5738C" w14:textId="77777777" w:rsidR="00B329CA" w:rsidRDefault="00B329CA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E68AD" w14:textId="6C198389" w:rsidR="00371F94" w:rsidRPr="009F775C" w:rsidRDefault="00371F94" w:rsidP="009F775C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 w:rsidRPr="009F775C">
        <w:rPr>
          <w:rFonts w:ascii="Arial" w:hAnsi="Arial" w:cs="Arial"/>
          <w:i w:val="0"/>
          <w:color w:val="auto"/>
          <w:sz w:val="22"/>
        </w:rPr>
        <w:tab/>
        <w:t>PŘEDMĚT SMLOUVY</w:t>
      </w:r>
    </w:p>
    <w:p w14:paraId="69326BC5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5D43E0" w14:textId="70FDA852" w:rsidR="007C7D58" w:rsidRPr="007C7D58" w:rsidRDefault="007C7D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>
        <w:rPr>
          <w:rFonts w:cs="Arial"/>
        </w:rPr>
        <w:t>P</w:t>
      </w:r>
      <w:r w:rsidRPr="007C7D58">
        <w:rPr>
          <w:rFonts w:cs="Arial"/>
        </w:rPr>
        <w:t>ověřující</w:t>
      </w:r>
      <w:r w:rsidR="000E30C3"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 w:rsidR="000E30C3"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>ých zadáván</w:t>
      </w:r>
      <w:r w:rsidR="009F775C">
        <w:rPr>
          <w:rFonts w:cs="Arial"/>
        </w:rPr>
        <w:t>í na nákup produktů společnosti IBM</w:t>
      </w:r>
      <w:r w:rsidR="009F6D1A">
        <w:rPr>
          <w:rFonts w:cs="Arial"/>
        </w:rPr>
        <w:t>,</w:t>
      </w:r>
      <w:r>
        <w:rPr>
          <w:rFonts w:cs="Arial"/>
        </w:rPr>
        <w:t xml:space="preserve"> dále vymezených v této Smlouvě</w:t>
      </w:r>
      <w:r w:rsidRPr="007C7D58">
        <w:rPr>
          <w:rFonts w:cs="Arial"/>
        </w:rPr>
        <w:t>.</w:t>
      </w:r>
    </w:p>
    <w:p w14:paraId="6B01C40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50CA046" w14:textId="5292C639" w:rsidR="000B423D" w:rsidRDefault="00371F94" w:rsidP="000B423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</w:t>
      </w:r>
      <w:r w:rsidR="00BC63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zadavatele, aby pro ně</w:t>
      </w:r>
      <w:r w:rsidR="003C73B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provedl centralizova</w:t>
      </w:r>
      <w:r w:rsidR="007C7D58">
        <w:rPr>
          <w:rFonts w:cs="Arial"/>
          <w:szCs w:val="22"/>
        </w:rPr>
        <w:t>ná</w:t>
      </w:r>
      <w:r>
        <w:rPr>
          <w:rFonts w:cs="Arial"/>
          <w:szCs w:val="22"/>
        </w:rPr>
        <w:t xml:space="preserve"> zadávání, </w:t>
      </w:r>
      <w:r w:rsidR="00305B25">
        <w:rPr>
          <w:rFonts w:cs="Arial"/>
          <w:szCs w:val="22"/>
        </w:rPr>
        <w:t>jejichž předmětem bude</w:t>
      </w:r>
      <w:r w:rsidR="000B423D">
        <w:rPr>
          <w:rFonts w:cs="Arial"/>
          <w:szCs w:val="22"/>
        </w:rPr>
        <w:t>:</w:t>
      </w:r>
    </w:p>
    <w:p w14:paraId="63CB49B4" w14:textId="77777777" w:rsidR="009F775C" w:rsidRPr="009F775C" w:rsidRDefault="009F775C" w:rsidP="009F775C"/>
    <w:p w14:paraId="76C99631" w14:textId="6A13D36B" w:rsidR="000B423D" w:rsidRPr="000B423D" w:rsidRDefault="000B423D" w:rsidP="000B423D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 w:rsidRPr="00621FFB">
        <w:rPr>
          <w:rFonts w:cs="Arial"/>
          <w:szCs w:val="22"/>
        </w:rPr>
        <w:t>provedení centralizovaného zadávacího řízení na uzavření rámcové dohody</w:t>
      </w:r>
      <w:r>
        <w:rPr>
          <w:rFonts w:cs="Arial"/>
          <w:szCs w:val="22"/>
        </w:rPr>
        <w:t xml:space="preserve"> na</w:t>
      </w:r>
      <w:r w:rsidRPr="00D07F4D">
        <w:rPr>
          <w:rFonts w:cs="Arial"/>
        </w:rPr>
        <w:t> </w:t>
      </w:r>
      <w:r w:rsidDel="009F6D1A">
        <w:rPr>
          <w:rFonts w:cs="Arial"/>
          <w:szCs w:val="22"/>
        </w:rPr>
        <w:t xml:space="preserve"> </w:t>
      </w:r>
      <w:r w:rsidR="009F775C">
        <w:rPr>
          <w:rFonts w:cs="Arial"/>
          <w:szCs w:val="22"/>
        </w:rPr>
        <w:t>poskytování produktů IBM</w:t>
      </w:r>
      <w:r>
        <w:rPr>
          <w:rFonts w:cs="Arial"/>
          <w:szCs w:val="22"/>
        </w:rPr>
        <w:t xml:space="preserve"> (dále jen „</w:t>
      </w:r>
      <w:r>
        <w:rPr>
          <w:rFonts w:cs="Arial"/>
          <w:b/>
          <w:szCs w:val="22"/>
        </w:rPr>
        <w:t>Rámcová dohoda</w:t>
      </w:r>
      <w:r>
        <w:rPr>
          <w:rFonts w:cs="Arial"/>
          <w:szCs w:val="22"/>
        </w:rPr>
        <w:t>“)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dle §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3</w:t>
      </w:r>
      <w:r w:rsidRPr="00D07F4D">
        <w:rPr>
          <w:rFonts w:cs="Arial"/>
        </w:rPr>
        <w:t> </w:t>
      </w:r>
      <w:r>
        <w:rPr>
          <w:rFonts w:cs="Arial"/>
          <w:szCs w:val="22"/>
        </w:rPr>
        <w:t xml:space="preserve"> písm.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b) a § 9 odst. 1 písm. b) Zákona za účelem uzavření Rámcové dohody ve smyslu § 131 a násl. § 135 Zákona s pěti (5) dodavateli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 xml:space="preserve">Zadávací řízení </w:t>
      </w:r>
      <w:r w:rsidRPr="009D269D">
        <w:rPr>
          <w:rFonts w:cs="Arial"/>
          <w:b/>
          <w:szCs w:val="22"/>
        </w:rPr>
        <w:t>RD</w:t>
      </w:r>
      <w:r>
        <w:rPr>
          <w:rFonts w:cs="Arial"/>
          <w:szCs w:val="22"/>
        </w:rPr>
        <w:t xml:space="preserve">“) </w:t>
      </w:r>
      <w:r w:rsidRPr="009D269D">
        <w:rPr>
          <w:rFonts w:cs="Arial"/>
          <w:szCs w:val="22"/>
        </w:rPr>
        <w:t>na</w:t>
      </w:r>
      <w:r w:rsidRPr="00621FFB">
        <w:rPr>
          <w:rFonts w:cs="Arial"/>
          <w:szCs w:val="22"/>
        </w:rPr>
        <w:t xml:space="preserve"> poskytování</w:t>
      </w:r>
      <w:r>
        <w:rPr>
          <w:rFonts w:cs="Arial"/>
          <w:szCs w:val="22"/>
        </w:rPr>
        <w:t>:</w:t>
      </w:r>
    </w:p>
    <w:p w14:paraId="773B9295" w14:textId="77777777" w:rsidR="007C7D58" w:rsidRDefault="007C7D58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1418" w:firstLine="0"/>
        <w:rPr>
          <w:rFonts w:cs="Arial"/>
          <w:szCs w:val="22"/>
        </w:rPr>
      </w:pPr>
    </w:p>
    <w:p w14:paraId="2297D538" w14:textId="29284088" w:rsidR="009F775C" w:rsidRPr="009F775C" w:rsidRDefault="009F775C" w:rsidP="009F775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9F775C">
        <w:rPr>
          <w:rFonts w:ascii="Arial" w:hAnsi="Arial" w:cs="Arial"/>
          <w:bCs/>
          <w:iCs/>
        </w:rPr>
        <w:t>licencí ke všem softwarovým produktům společnosti IBM zařazených do licenčního modelu IBM Passport,</w:t>
      </w:r>
    </w:p>
    <w:p w14:paraId="40327C66" w14:textId="3E22788A" w:rsidR="009F775C" w:rsidRPr="009F775C" w:rsidRDefault="009F775C" w:rsidP="009F775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B04A1B">
        <w:rPr>
          <w:rFonts w:ascii="Arial" w:hAnsi="Arial" w:cs="Arial"/>
          <w:bCs/>
          <w:iCs/>
        </w:rPr>
        <w:t>podpory k novým i stávajícím softwarovým produktům společnosti IBM</w:t>
      </w:r>
      <w:r>
        <w:rPr>
          <w:rFonts w:ascii="Arial" w:hAnsi="Arial" w:cs="Arial"/>
          <w:bCs/>
          <w:iCs/>
        </w:rPr>
        <w:t xml:space="preserve"> </w:t>
      </w:r>
      <w:r w:rsidRPr="009F775C">
        <w:rPr>
          <w:rFonts w:ascii="Arial" w:hAnsi="Arial" w:cs="Arial"/>
          <w:bCs/>
          <w:iCs/>
        </w:rPr>
        <w:t>uvedeným pod bodem a) výše;</w:t>
      </w:r>
    </w:p>
    <w:p w14:paraId="6BDB3D0E" w14:textId="28587397" w:rsidR="009F775C" w:rsidRPr="00B04A1B" w:rsidRDefault="009F775C" w:rsidP="009F775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B04A1B">
        <w:rPr>
          <w:rFonts w:ascii="Arial" w:hAnsi="Arial" w:cs="Arial"/>
          <w:bCs/>
          <w:iCs/>
        </w:rPr>
        <w:t>vymezených licenčních balíků nabízených ve</w:t>
      </w:r>
      <w:r>
        <w:rPr>
          <w:rFonts w:ascii="Arial" w:hAnsi="Arial" w:cs="Arial"/>
          <w:bCs/>
          <w:iCs/>
        </w:rPr>
        <w:t xml:space="preserve"> zvláštním licenčním modelu IBM </w:t>
      </w:r>
      <w:r w:rsidRPr="00B04A1B">
        <w:rPr>
          <w:rFonts w:ascii="Arial" w:hAnsi="Arial" w:cs="Arial"/>
          <w:bCs/>
          <w:iCs/>
        </w:rPr>
        <w:t>International Passport Advantage Agreement Special Terms Adendum (IIPAASTA) k softwarovým produktům IBM;</w:t>
      </w:r>
    </w:p>
    <w:p w14:paraId="26063B15" w14:textId="77777777" w:rsidR="009F775C" w:rsidRDefault="009F775C" w:rsidP="009F775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B04A1B">
        <w:rPr>
          <w:rFonts w:ascii="Arial" w:hAnsi="Arial" w:cs="Arial"/>
          <w:bCs/>
          <w:iCs/>
        </w:rPr>
        <w:lastRenderedPageBreak/>
        <w:t>poskytování předprodejního porad</w:t>
      </w:r>
      <w:r>
        <w:rPr>
          <w:rFonts w:ascii="Arial" w:hAnsi="Arial" w:cs="Arial"/>
          <w:bCs/>
          <w:iCs/>
        </w:rPr>
        <w:t>enství pro Centrálního zadavatele a P</w:t>
      </w:r>
      <w:r w:rsidRPr="00B04A1B">
        <w:rPr>
          <w:rFonts w:ascii="Arial" w:hAnsi="Arial" w:cs="Arial"/>
          <w:bCs/>
          <w:iCs/>
        </w:rPr>
        <w:t>ověřující zadavatele.</w:t>
      </w:r>
    </w:p>
    <w:p w14:paraId="5D3AE8D0" w14:textId="7D2F98CF" w:rsidR="00C114F4" w:rsidRPr="009F775C" w:rsidRDefault="00C114F4" w:rsidP="009F775C">
      <w:pPr>
        <w:pStyle w:val="Odstavecseseznamem"/>
        <w:jc w:val="both"/>
        <w:rPr>
          <w:rFonts w:ascii="Arial" w:hAnsi="Arial" w:cs="Arial"/>
          <w:bCs/>
          <w:iCs/>
        </w:rPr>
      </w:pPr>
      <w:r w:rsidRPr="009F775C">
        <w:rPr>
          <w:rFonts w:ascii="Arial" w:hAnsi="Arial" w:cs="Arial"/>
          <w:bCs/>
          <w:iCs/>
        </w:rPr>
        <w:t>a zadávání veřejných zakázek na základě Rámcové dohody za podmínek stanovených dále v této Smlouvě, zejména potom v ustanovení článku 2. této Smlouvy.</w:t>
      </w:r>
    </w:p>
    <w:p w14:paraId="4C67567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36C4DD9" w14:textId="77777777" w:rsidR="00B329CA" w:rsidRDefault="00B329CA" w:rsidP="006E6844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 xml:space="preserve">PODROBNÁ PRAVIDLA PRO REALIZACI </w:t>
      </w:r>
      <w:r w:rsidR="00392E4C">
        <w:rPr>
          <w:rFonts w:ascii="Arial" w:hAnsi="Arial" w:cs="Arial"/>
          <w:i w:val="0"/>
          <w:color w:val="auto"/>
          <w:sz w:val="22"/>
        </w:rPr>
        <w:t>ZADÁVACÍHO ŘÍZENÍ</w:t>
      </w:r>
      <w:r>
        <w:rPr>
          <w:rFonts w:ascii="Arial" w:hAnsi="Arial" w:cs="Arial"/>
          <w:i w:val="0"/>
          <w:color w:val="auto"/>
          <w:sz w:val="22"/>
        </w:rPr>
        <w:t xml:space="preserve"> NA </w:t>
      </w:r>
      <w:r w:rsidR="00392E4C">
        <w:rPr>
          <w:rFonts w:ascii="Arial" w:hAnsi="Arial" w:cs="Arial"/>
          <w:i w:val="0"/>
          <w:color w:val="auto"/>
          <w:sz w:val="22"/>
        </w:rPr>
        <w:t xml:space="preserve">UZAVŘENÍ </w:t>
      </w:r>
      <w:r>
        <w:rPr>
          <w:rFonts w:ascii="Arial" w:hAnsi="Arial" w:cs="Arial"/>
          <w:i w:val="0"/>
          <w:color w:val="auto"/>
          <w:sz w:val="22"/>
        </w:rPr>
        <w:t>RÁMCOV</w:t>
      </w:r>
      <w:r w:rsidR="00392E4C">
        <w:rPr>
          <w:rFonts w:ascii="Arial" w:hAnsi="Arial" w:cs="Arial"/>
          <w:i w:val="0"/>
          <w:color w:val="auto"/>
          <w:sz w:val="22"/>
        </w:rPr>
        <w:t>É</w:t>
      </w:r>
      <w:r>
        <w:rPr>
          <w:rFonts w:ascii="Arial" w:hAnsi="Arial" w:cs="Arial"/>
          <w:i w:val="0"/>
          <w:color w:val="auto"/>
          <w:sz w:val="22"/>
        </w:rPr>
        <w:t xml:space="preserve"> DOHOD</w:t>
      </w:r>
      <w:r w:rsidR="00392E4C">
        <w:rPr>
          <w:rFonts w:ascii="Arial" w:hAnsi="Arial" w:cs="Arial"/>
          <w:i w:val="0"/>
          <w:color w:val="auto"/>
          <w:sz w:val="22"/>
        </w:rPr>
        <w:t>Y</w:t>
      </w:r>
    </w:p>
    <w:p w14:paraId="5CF35007" w14:textId="77777777" w:rsidR="006E6844" w:rsidRDefault="006E6844" w:rsidP="006E6844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DE42E13" w14:textId="2A8C4C1C" w:rsidR="00B329CA" w:rsidRPr="0040497A" w:rsidRDefault="00B329CA" w:rsidP="0040497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 zadavatel tímto zmocňuj</w:t>
      </w:r>
      <w:r w:rsidR="003C73B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tomu, aby na základ</w:t>
      </w:r>
      <w:r w:rsidR="00DB2D8A">
        <w:rPr>
          <w:rFonts w:cs="Arial"/>
          <w:szCs w:val="22"/>
        </w:rPr>
        <w:t xml:space="preserve">ě provedeného Zadávacího řízení </w:t>
      </w:r>
      <w:r w:rsidR="009D269D">
        <w:rPr>
          <w:rFonts w:cs="Arial"/>
          <w:szCs w:val="22"/>
        </w:rPr>
        <w:t xml:space="preserve">RD </w:t>
      </w:r>
      <w:r>
        <w:rPr>
          <w:rFonts w:cs="Arial"/>
          <w:szCs w:val="22"/>
        </w:rPr>
        <w:t>uzavřel jménem svým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svůj účet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dále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Pověřujících zadavatelů, </w:t>
      </w:r>
      <w:r w:rsidR="009D269D">
        <w:rPr>
          <w:rFonts w:cs="Arial"/>
          <w:szCs w:val="22"/>
        </w:rPr>
        <w:t>R</w:t>
      </w:r>
      <w:r w:rsidR="009158FB">
        <w:rPr>
          <w:rFonts w:cs="Arial"/>
          <w:szCs w:val="22"/>
        </w:rPr>
        <w:t>ámcovou dohodu dle § </w:t>
      </w:r>
      <w:r>
        <w:rPr>
          <w:rFonts w:cs="Arial"/>
          <w:szCs w:val="22"/>
        </w:rPr>
        <w:t>131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</w:t>
      </w:r>
      <w:r w:rsidR="0040497A">
        <w:rPr>
          <w:rFonts w:cs="Arial"/>
          <w:szCs w:val="22"/>
        </w:rPr>
        <w:t>. Zákona</w:t>
      </w:r>
      <w:r w:rsidR="009F5D0E">
        <w:rPr>
          <w:rFonts w:cs="Arial"/>
          <w:szCs w:val="22"/>
        </w:rPr>
        <w:t xml:space="preserve"> s </w:t>
      </w:r>
      <w:r w:rsidR="0040497A">
        <w:rPr>
          <w:rFonts w:cs="Arial"/>
          <w:szCs w:val="22"/>
        </w:rPr>
        <w:t>pěti (5) dodavateli.</w:t>
      </w:r>
    </w:p>
    <w:p w14:paraId="45C85D5A" w14:textId="746F4415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</w:t>
      </w:r>
      <w:r w:rsidR="00E6653D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zadavatel</w:t>
      </w:r>
      <w:r w:rsidR="00E6653D">
        <w:rPr>
          <w:rFonts w:cs="Arial"/>
          <w:szCs w:val="22"/>
        </w:rPr>
        <w:t>i</w:t>
      </w:r>
      <w:r>
        <w:rPr>
          <w:rFonts w:cs="Arial"/>
          <w:szCs w:val="22"/>
        </w:rPr>
        <w:t>, potažmo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Centrálnímu zadavateli, bude realizováno na základě prováděcích smluv uzavřených v rámci veřejných zakázek zadávaných na základě Rámcové dohody dle</w:t>
      </w:r>
      <w:r w:rsidR="009158FB">
        <w:rPr>
          <w:rFonts w:cs="Arial"/>
          <w:szCs w:val="22"/>
        </w:rPr>
        <w:t xml:space="preserve"> ustanovení § 132 odst. 3 písm. </w:t>
      </w:r>
      <w:r>
        <w:rPr>
          <w:rFonts w:cs="Arial"/>
          <w:szCs w:val="22"/>
        </w:rPr>
        <w:t>a) ve spojení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135 Zákona</w:t>
      </w:r>
      <w:r w:rsidR="00D468DC">
        <w:rPr>
          <w:rFonts w:cs="Arial"/>
          <w:szCs w:val="22"/>
        </w:rPr>
        <w:t xml:space="preserve"> (dále jen „</w:t>
      </w:r>
      <w:r w:rsidR="00D468DC" w:rsidRPr="001F1BDC">
        <w:rPr>
          <w:rFonts w:cs="Arial"/>
          <w:b/>
          <w:szCs w:val="22"/>
        </w:rPr>
        <w:t>Prováděcí smlouva</w:t>
      </w:r>
      <w:r w:rsidR="00D468DC">
        <w:rPr>
          <w:rFonts w:cs="Arial"/>
          <w:szCs w:val="22"/>
        </w:rPr>
        <w:t>“)</w:t>
      </w:r>
      <w:r>
        <w:rPr>
          <w:rFonts w:cs="Arial"/>
          <w:szCs w:val="22"/>
        </w:rPr>
        <w:t xml:space="preserve">. </w:t>
      </w:r>
    </w:p>
    <w:p w14:paraId="32B2265B" w14:textId="0E361791" w:rsidR="00B329CA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 w:rsidR="00FE1A1C">
        <w:rPr>
          <w:rFonts w:cs="Arial"/>
          <w:b/>
          <w:szCs w:val="22"/>
        </w:rPr>
        <w:t>Dílčí Z</w:t>
      </w:r>
      <w:r w:rsidR="00FC35A4">
        <w:rPr>
          <w:rFonts w:cs="Arial"/>
          <w:b/>
          <w:szCs w:val="22"/>
        </w:rPr>
        <w:t>VZ</w:t>
      </w:r>
      <w:r w:rsidR="00790936">
        <w:rPr>
          <w:rFonts w:cs="Arial"/>
          <w:b/>
          <w:szCs w:val="22"/>
        </w:rPr>
        <w:t xml:space="preserve"> RD</w:t>
      </w:r>
      <w:r>
        <w:rPr>
          <w:rFonts w:cs="Arial"/>
          <w:szCs w:val="22"/>
        </w:rPr>
        <w:t>“</w:t>
      </w:r>
      <w:r w:rsidR="0022724C">
        <w:rPr>
          <w:rFonts w:cs="Arial"/>
          <w:szCs w:val="22"/>
        </w:rPr>
        <w:t xml:space="preserve"> nebo </w:t>
      </w:r>
      <w:r w:rsidR="0022724C" w:rsidRPr="0022724C">
        <w:rPr>
          <w:rFonts w:cs="Arial"/>
          <w:b/>
          <w:szCs w:val="22"/>
        </w:rPr>
        <w:t>„Dílčí zadávání veřejné zakázky“</w:t>
      </w:r>
      <w:r>
        <w:rPr>
          <w:rFonts w:cs="Arial"/>
          <w:szCs w:val="22"/>
        </w:rPr>
        <w:t>) směřující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uzavření konkrétní </w:t>
      </w:r>
      <w:r w:rsidR="00D468DC">
        <w:rPr>
          <w:rFonts w:cs="Arial"/>
          <w:szCs w:val="22"/>
        </w:rPr>
        <w:t xml:space="preserve">Prováděcí </w:t>
      </w:r>
      <w:r w:rsidR="0030328B">
        <w:rPr>
          <w:rFonts w:cs="Arial"/>
          <w:szCs w:val="22"/>
        </w:rPr>
        <w:t>smlouvy</w:t>
      </w:r>
      <w:r w:rsidR="0080728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může být vedeno (realizováno):</w:t>
      </w:r>
    </w:p>
    <w:p w14:paraId="777630AB" w14:textId="01C7D85A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Centrálního zadavatele; nebo</w:t>
      </w:r>
    </w:p>
    <w:p w14:paraId="0C36187E" w14:textId="68A6AC47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zadavatele; nebo </w:t>
      </w:r>
    </w:p>
    <w:p w14:paraId="125663BB" w14:textId="7E368970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Pověřujícím zadavatelem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takového Pověřujícího zadavatele. </w:t>
      </w:r>
    </w:p>
    <w:p w14:paraId="173CBB20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14:paraId="0FE38B53" w14:textId="377B3DCF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činí nesporným, že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 xml:space="preserve">jednotlivé </w:t>
      </w:r>
      <w:r w:rsidR="0030328B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bude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dodavateli uzavírat svým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svůj účet vždy ta Smluvní strana, pro kterou má být Dílčí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provedeno.</w:t>
      </w:r>
    </w:p>
    <w:p w14:paraId="2764BAAF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5E5A82A5" w14:textId="6D607F6C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dohodly, že </w:t>
      </w:r>
      <w:r w:rsidR="009158FB">
        <w:rPr>
          <w:rFonts w:cs="Arial"/>
          <w:szCs w:val="22"/>
        </w:rPr>
        <w:t>povinnost dle ustanovení článku </w:t>
      </w:r>
      <w:r w:rsidR="009D269D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>
        <w:rPr>
          <w:rFonts w:cs="Arial"/>
          <w:szCs w:val="22"/>
        </w:rPr>
        <w:t>b) Smlouvy se na Centrálního zadavatele vztahuje pouze za předpokladu, že:</w:t>
      </w:r>
    </w:p>
    <w:p w14:paraId="5152E130" w14:textId="77777777" w:rsidR="00B329CA" w:rsidRDefault="00B329CA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95C1D4" w14:textId="1E254430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poskytnutí plnění ve smyslu předmětného ustanovení této Smlouvy, tedy že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konkrétního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="00C333BD">
        <w:rPr>
          <w:rFonts w:cs="Arial"/>
          <w:szCs w:val="22"/>
        </w:rPr>
        <w:t>;</w:t>
      </w:r>
    </w:p>
    <w:p w14:paraId="5339E896" w14:textId="77777777" w:rsidR="009D269D" w:rsidRDefault="009D269D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6F9CA505" w14:textId="5C481117" w:rsidR="00B329CA" w:rsidRDefault="00B329CA" w:rsidP="00FE1A1C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 w:rsidR="009F5D0E"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 w:rsidR="009F5D0E"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 w:rsidR="009F5D0E"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 w:rsidR="00FE1A1C">
        <w:rPr>
          <w:rFonts w:cs="Arial"/>
          <w:szCs w:val="22"/>
        </w:rPr>
        <w:t>ého plnění společnosti IBM</w:t>
      </w:r>
      <w:r w:rsidR="009F5D0E">
        <w:rPr>
          <w:rFonts w:cs="Arial"/>
          <w:szCs w:val="22"/>
        </w:rPr>
        <w:t xml:space="preserve">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C114F4">
        <w:rPr>
          <w:rFonts w:cs="Arial"/>
          <w:szCs w:val="22"/>
        </w:rPr>
        <w:t xml:space="preserve"> (po</w:t>
      </w:r>
      <w:r w:rsidR="00FE1A1C">
        <w:rPr>
          <w:rFonts w:cs="Arial"/>
          <w:szCs w:val="22"/>
        </w:rPr>
        <w:t xml:space="preserve">kyny budou uvedeny na stránkách: </w:t>
      </w:r>
      <w:r w:rsidR="00FE1A1C" w:rsidRPr="00FE1A1C">
        <w:rPr>
          <w:rFonts w:cs="Arial"/>
          <w:szCs w:val="22"/>
        </w:rPr>
        <w:t>https://www.mvcr.cz/clanek/centralni-nakup-produktu-ibm.aspx</w:t>
      </w:r>
      <w:r w:rsidR="00C114F4">
        <w:rPr>
          <w:rFonts w:cs="Arial"/>
        </w:rPr>
        <w:t>)</w:t>
      </w:r>
      <w:r w:rsidR="00C114F4">
        <w:rPr>
          <w:rFonts w:cs="Arial"/>
          <w:szCs w:val="22"/>
        </w:rPr>
        <w:t>;</w:t>
      </w:r>
    </w:p>
    <w:p w14:paraId="6773AB8C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5B890814" w14:textId="0CD7CBBF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předmět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bude v písemné žádosti Pověřujícího zadavatele</w:t>
      </w:r>
      <w:r w:rsidR="009F5D0E">
        <w:rPr>
          <w:rFonts w:cs="Arial"/>
          <w:szCs w:val="22"/>
        </w:rPr>
        <w:t xml:space="preserve"> o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realizaci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vymezen řádně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Rámcovou dohodou</w:t>
      </w:r>
      <w:r w:rsidR="00402E9A">
        <w:rPr>
          <w:rFonts w:cs="Arial"/>
          <w:szCs w:val="22"/>
        </w:rPr>
        <w:t>;</w:t>
      </w:r>
      <w:r>
        <w:rPr>
          <w:rFonts w:cs="Arial"/>
          <w:szCs w:val="22"/>
        </w:rPr>
        <w:t xml:space="preserve"> </w:t>
      </w:r>
    </w:p>
    <w:p w14:paraId="3307C886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4CA48DAD" w14:textId="108DBF33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 w:rsidR="009F5D0E"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 w:rsidR="00C333BD">
        <w:rPr>
          <w:rFonts w:cs="Arial"/>
          <w:szCs w:val="22"/>
        </w:rPr>
        <w:t>2.3</w:t>
      </w:r>
      <w:r w:rsidR="008E596B"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 w:rsidR="00C333BD"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14:paraId="5FDC0D3F" w14:textId="77777777" w:rsidR="00D47064" w:rsidRDefault="00D47064" w:rsidP="00D47064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17F51D34" w14:textId="27D2BD85" w:rsidR="003672A5" w:rsidRPr="002F410E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lastRenderedPageBreak/>
        <w:t>Za úč</w:t>
      </w:r>
      <w:r w:rsidR="00FE1A1C">
        <w:rPr>
          <w:rFonts w:cs="Arial"/>
          <w:szCs w:val="22"/>
        </w:rPr>
        <w:t>elem provedení Dílčího ZVZ</w:t>
      </w:r>
      <w:r>
        <w:rPr>
          <w:rFonts w:cs="Arial"/>
          <w:szCs w:val="22"/>
        </w:rPr>
        <w:t xml:space="preserve"> RD se </w:t>
      </w:r>
      <w:r w:rsidR="00CF45EF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řádně své závazné požadavky týkající se po</w:t>
      </w:r>
      <w:r w:rsidR="00FE1A1C">
        <w:rPr>
          <w:rFonts w:cs="Arial"/>
          <w:szCs w:val="22"/>
        </w:rPr>
        <w:t>žadovaných produktů společnosti IBM</w:t>
      </w:r>
      <w:r>
        <w:rPr>
          <w:rFonts w:cs="Arial"/>
          <w:szCs w:val="22"/>
        </w:rPr>
        <w:t xml:space="preserve"> (jejich kvalitativní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kvantitativní specifikaci, resp. další informace potřebné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jejich pořízení), které mají být dodávány v návaznosti na Rámcovou dohodu. </w:t>
      </w:r>
    </w:p>
    <w:p w14:paraId="316E1C46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683F6EBC" w14:textId="0D56FD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Požadavky na realizaci konkrétního Dílčího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je Pověřující zadavatel oprávněn předkládat Centrálnímu zadavateli kdykoli po dobu účinnosti této Smlouvy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Rámcové dohody. Při stanovení předmětu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rozsahu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zadávaných na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základě Rámcového dohody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zadavatele, je Centrální zadavatel povinen vycházet z údajů, které mu pro účely provedení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poskytne Pověřující zadavatel.</w:t>
      </w:r>
    </w:p>
    <w:p w14:paraId="6488232C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5BA3902" w14:textId="2ED8DCE3" w:rsidR="003672A5" w:rsidRPr="00B6222A" w:rsidRDefault="00CF45EF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976704" w:rsidRPr="00B6222A">
        <w:rPr>
          <w:rFonts w:cs="Arial"/>
          <w:szCs w:val="22"/>
        </w:rPr>
        <w:t>Dílčích Z</w:t>
      </w:r>
      <w:r w:rsidR="00D77424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>. V případě postupu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odst.</w:t>
      </w:r>
      <w:r w:rsidRPr="00B6222A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2</w:t>
      </w:r>
      <w:r w:rsidR="003672A5" w:rsidRPr="00B6222A">
        <w:rPr>
          <w:rFonts w:cs="Arial"/>
          <w:szCs w:val="22"/>
        </w:rPr>
        <w:t>.</w:t>
      </w:r>
      <w:r w:rsidR="008D07D2" w:rsidRPr="00B6222A">
        <w:rPr>
          <w:rFonts w:cs="Arial"/>
          <w:szCs w:val="22"/>
        </w:rPr>
        <w:t>3</w:t>
      </w:r>
      <w:r w:rsidR="003672A5" w:rsidRPr="00B6222A">
        <w:rPr>
          <w:rFonts w:cs="Arial"/>
          <w:szCs w:val="22"/>
        </w:rPr>
        <w:t xml:space="preserve"> písm.</w:t>
      </w:r>
      <w:r w:rsidR="009D4868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b</w:t>
      </w:r>
      <w:r w:rsidR="003672A5" w:rsidRPr="00B6222A">
        <w:rPr>
          <w:rFonts w:cs="Arial"/>
          <w:szCs w:val="22"/>
        </w:rPr>
        <w:t>)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8D07D2" w:rsidRPr="00B6222A">
        <w:rPr>
          <w:rFonts w:cs="Arial"/>
          <w:szCs w:val="22"/>
        </w:rPr>
        <w:t>vysvětlení zadávací dokumentace, případně ke změně zadávací dokumentace</w:t>
      </w:r>
      <w:r w:rsidR="003672A5" w:rsidRPr="00B6222A">
        <w:rPr>
          <w:rFonts w:cs="Arial"/>
          <w:szCs w:val="22"/>
        </w:rPr>
        <w:t xml:space="preserve">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§</w:t>
      </w:r>
      <w:r w:rsidRPr="00B6222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sdělí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Centrálnímu zadavateli Pověřující zadavatel jménem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na</w:t>
      </w:r>
      <w:r w:rsidR="009158FB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 xml:space="preserve">účet kterého je Dílčí </w:t>
      </w:r>
      <w:r w:rsidR="00976704" w:rsidRPr="00B6222A">
        <w:rPr>
          <w:rFonts w:cs="Arial"/>
          <w:szCs w:val="22"/>
        </w:rPr>
        <w:t>Z</w:t>
      </w:r>
      <w:r w:rsidR="008D07D2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 xml:space="preserve"> realizováno.</w:t>
      </w:r>
    </w:p>
    <w:p w14:paraId="6429DC63" w14:textId="77777777" w:rsidR="003672A5" w:rsidRPr="00B6222A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4F8B9ED" w14:textId="77777777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adavatelem pouze pro výkon činností centralizovaného zadávání, jež jsou upraveny v této Smlouvě.</w:t>
      </w:r>
    </w:p>
    <w:p w14:paraId="45018B85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67523FA9" w14:textId="0C8E3A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Bude-li Centrální zadavatel realizovat pro Pověřujícího zadavatele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ve</w:t>
      </w:r>
      <w:r w:rsidR="00CF45EF">
        <w:rPr>
          <w:rFonts w:cs="Arial"/>
          <w:szCs w:val="22"/>
        </w:rPr>
        <w:t>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smyslu této Smlouvy, zavazuje se Centrální zadavatel provést takové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9158FB">
        <w:rPr>
          <w:rFonts w:cs="Arial"/>
          <w:szCs w:val="22"/>
        </w:rPr>
        <w:t xml:space="preserve"> dle § 132 odst. 3 písm. </w:t>
      </w:r>
      <w:r>
        <w:rPr>
          <w:rFonts w:cs="Arial"/>
          <w:szCs w:val="22"/>
        </w:rPr>
        <w:t xml:space="preserve">a) Zákona až po výběr </w:t>
      </w:r>
      <w:r w:rsidR="00372BA6">
        <w:rPr>
          <w:rFonts w:cs="Arial"/>
          <w:szCs w:val="22"/>
        </w:rPr>
        <w:t>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oznámení</w:t>
      </w:r>
      <w:r w:rsidR="009F5D0E">
        <w:rPr>
          <w:rFonts w:cs="Arial"/>
          <w:szCs w:val="22"/>
        </w:rPr>
        <w:t xml:space="preserve"> o </w:t>
      </w:r>
      <w:r w:rsidR="00372BA6">
        <w:rPr>
          <w:rFonts w:cs="Arial"/>
          <w:szCs w:val="22"/>
        </w:rPr>
        <w:t>výběru 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předání návrhu</w:t>
      </w:r>
      <w:r w:rsidRPr="00433EE9">
        <w:rPr>
          <w:rFonts w:cs="Arial"/>
          <w:szCs w:val="22"/>
        </w:rPr>
        <w:t xml:space="preserve"> </w:t>
      </w:r>
      <w:r w:rsidR="005C6B24"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>y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vybraným dodavatelem Pověřujícímu zadavateli. Pověřující zadavatel je poté povinen uzavřít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smlouvu</w:t>
      </w:r>
      <w:r w:rsidR="009F5D0E">
        <w:rPr>
          <w:rFonts w:cs="Arial"/>
          <w:szCs w:val="22"/>
        </w:rPr>
        <w:t xml:space="preserve"> s </w:t>
      </w:r>
      <w:r w:rsidR="009158FB">
        <w:rPr>
          <w:rFonts w:cs="Arial"/>
          <w:szCs w:val="22"/>
        </w:rPr>
        <w:t>vybraným dodavatelem podle § 124 odst. </w:t>
      </w:r>
      <w:r>
        <w:rPr>
          <w:rFonts w:cs="Arial"/>
          <w:szCs w:val="22"/>
        </w:rPr>
        <w:t>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násl. Zákona</w:t>
      </w:r>
      <w:r w:rsidR="00CF45EF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a </w:t>
      </w:r>
      <w:r w:rsidR="00CF45EF">
        <w:rPr>
          <w:rFonts w:cs="Arial"/>
          <w:szCs w:val="22"/>
        </w:rPr>
        <w:t xml:space="preserve">bezodkladně oznámit </w:t>
      </w:r>
      <w:r>
        <w:rPr>
          <w:rFonts w:cs="Arial"/>
          <w:szCs w:val="22"/>
        </w:rPr>
        <w:t xml:space="preserve">uzavření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spolu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poskytnutím jejího stejnopisu Centrálnímu zadavateli, aby Centrální zadavatel mohl v zákonných lhůtách dokončit veškeré úkony </w:t>
      </w:r>
      <w:r w:rsidR="00372BA6">
        <w:rPr>
          <w:rFonts w:cs="Arial"/>
          <w:szCs w:val="22"/>
        </w:rPr>
        <w:t>týkající se</w:t>
      </w:r>
      <w:r>
        <w:rPr>
          <w:rFonts w:cs="Arial"/>
          <w:szCs w:val="22"/>
        </w:rPr>
        <w:t> příslušné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Dílčí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. </w:t>
      </w:r>
    </w:p>
    <w:p w14:paraId="59612822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F4D9636" w14:textId="42ABC3CA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provedením Zadávacího řízení </w:t>
      </w:r>
      <w:r w:rsidR="00D47064">
        <w:rPr>
          <w:rFonts w:cs="Arial"/>
          <w:szCs w:val="22"/>
        </w:rPr>
        <w:t>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případnou realizací Dílčích </w:t>
      </w:r>
      <w:r w:rsidR="00976704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realizovaných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</w:t>
      </w:r>
      <w:r w:rsidR="00164812">
        <w:rPr>
          <w:rFonts w:cs="Arial"/>
          <w:szCs w:val="22"/>
        </w:rPr>
        <w:t>jednání</w:t>
      </w:r>
      <w:r>
        <w:rPr>
          <w:rFonts w:cs="Arial"/>
          <w:szCs w:val="22"/>
        </w:rPr>
        <w:t xml:space="preserve"> Centrálního zadavatele vůči dodavatelům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účastníkům Zadávacího řízení</w:t>
      </w:r>
      <w:r w:rsidR="00D47064">
        <w:rPr>
          <w:rFonts w:cs="Arial"/>
          <w:szCs w:val="22"/>
        </w:rPr>
        <w:t xml:space="preserve"> RD</w:t>
      </w:r>
      <w:r w:rsidR="00DB2D8A">
        <w:rPr>
          <w:rFonts w:cs="Arial"/>
          <w:szCs w:val="22"/>
        </w:rPr>
        <w:t xml:space="preserve">, </w:t>
      </w:r>
      <w:r w:rsidRPr="00DB2D8A">
        <w:rPr>
          <w:rFonts w:cs="Arial"/>
          <w:szCs w:val="22"/>
        </w:rPr>
        <w:t>Věstníku veřejných zakázek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uvedenému veškerou nezbytnou součinnost.</w:t>
      </w:r>
    </w:p>
    <w:p w14:paraId="5E888B1A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74D5D75" w14:textId="07FDFC3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</w:t>
      </w:r>
      <w:r w:rsidR="006511F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Pověřujícího zadavatele na základě Rámcové dohody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dle této Smlouvy </w:t>
      </w:r>
      <w:r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>dokončením všech úkonů týkajících se příslušné Dílčí ZVZ</w:t>
      </w:r>
      <w:r w:rsidR="009158FB">
        <w:rPr>
          <w:rFonts w:cs="Arial"/>
          <w:szCs w:val="22"/>
        </w:rPr>
        <w:t xml:space="preserve"> RD ve smyslu ustanovení článku </w:t>
      </w:r>
      <w:r w:rsidR="006511FD">
        <w:rPr>
          <w:rFonts w:cs="Arial"/>
          <w:szCs w:val="22"/>
        </w:rPr>
        <w:t>2.9 této Smlouvy</w:t>
      </w:r>
      <w:r>
        <w:rPr>
          <w:rFonts w:cs="Arial"/>
          <w:szCs w:val="22"/>
        </w:rPr>
        <w:t>; tím není dotčeno právo Centrálního zadavatele vystupovat vůči Pověřujícímu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třetím osobám v rozsahu činností nezbytných pro jednání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případných dodatků</w:t>
      </w:r>
      <w:r w:rsidR="009F5D0E">
        <w:rPr>
          <w:rFonts w:cs="Arial"/>
          <w:szCs w:val="22"/>
        </w:rPr>
        <w:t xml:space="preserve"> k </w:t>
      </w:r>
      <w:r w:rsidR="005C6B24">
        <w:rPr>
          <w:rFonts w:cs="Arial"/>
          <w:szCs w:val="22"/>
        </w:rPr>
        <w:t>P</w:t>
      </w:r>
      <w:r w:rsidR="0003522D">
        <w:rPr>
          <w:rFonts w:cs="Arial"/>
          <w:szCs w:val="22"/>
        </w:rPr>
        <w:t>rováděcím</w:t>
      </w:r>
      <w:r>
        <w:rPr>
          <w:rFonts w:cs="Arial"/>
          <w:szCs w:val="22"/>
        </w:rPr>
        <w:t xml:space="preserve"> smlouvám uzavřeným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podkladě jím realizovaných Dílčích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2E071265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0596BB4" w14:textId="3AD6406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 xml:space="preserve">tlivé </w:t>
      </w:r>
      <w:r w:rsidR="00D468DC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uveřejní v souladu</w:t>
      </w:r>
      <w:r w:rsidR="009F5D0E">
        <w:rPr>
          <w:rFonts w:cs="Arial"/>
          <w:szCs w:val="22"/>
        </w:rPr>
        <w:t xml:space="preserve"> s </w:t>
      </w:r>
      <w:r w:rsidR="00A16D48">
        <w:rPr>
          <w:rFonts w:cs="Arial"/>
          <w:szCs w:val="22"/>
        </w:rPr>
        <w:t>účinnými</w:t>
      </w:r>
      <w:r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 w:rsidR="009F5D0E">
        <w:rPr>
          <w:rFonts w:cs="Arial"/>
          <w:szCs w:val="22"/>
        </w:rPr>
        <w:t xml:space="preserve"> a </w:t>
      </w:r>
      <w:r w:rsidR="009F5D0E">
        <w:rPr>
          <w:rFonts w:cs="Arial"/>
          <w:szCs w:val="22"/>
        </w:rPr>
        <w:lastRenderedPageBreak/>
        <w:t>o </w:t>
      </w:r>
      <w:r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 w:rsidR="00335738">
        <w:rPr>
          <w:rFonts w:cs="Arial"/>
          <w:szCs w:val="22"/>
        </w:rPr>
        <w:t>Z</w:t>
      </w:r>
      <w:r w:rsidR="00A16D48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14:paraId="6185CF60" w14:textId="1A3C77D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právními předpisy zvolit vhodný způsob zadání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jedné či více smluv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realizaci příslušného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zadavatele. Centrální zadavatel poskytne </w:t>
      </w:r>
      <w:r w:rsidR="007032EC">
        <w:rPr>
          <w:rFonts w:cs="Arial"/>
          <w:szCs w:val="22"/>
        </w:rPr>
        <w:t>Pověřujícímu z</w:t>
      </w:r>
      <w:r>
        <w:rPr>
          <w:rFonts w:cs="Arial"/>
          <w:szCs w:val="22"/>
        </w:rPr>
        <w:t xml:space="preserve">adavateli </w:t>
      </w:r>
      <w:r w:rsidR="007032EC">
        <w:rPr>
          <w:rFonts w:cs="Arial"/>
          <w:szCs w:val="22"/>
        </w:rPr>
        <w:t>na </w:t>
      </w:r>
      <w:r>
        <w:rPr>
          <w:rFonts w:cs="Arial"/>
          <w:szCs w:val="22"/>
        </w:rPr>
        <w:t>jeho písemn</w:t>
      </w:r>
      <w:r w:rsidR="007032EC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žádost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přípravě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průběhu Zadávacího řízení </w:t>
      </w:r>
      <w:r w:rsidR="00335738">
        <w:rPr>
          <w:rFonts w:cs="Arial"/>
          <w:szCs w:val="22"/>
        </w:rPr>
        <w:t>R</w:t>
      </w:r>
      <w:r w:rsidR="00D47064">
        <w:rPr>
          <w:rFonts w:cs="Arial"/>
          <w:szCs w:val="22"/>
        </w:rPr>
        <w:t>D</w:t>
      </w:r>
      <w:r>
        <w:rPr>
          <w:rFonts w:cs="Arial"/>
          <w:szCs w:val="22"/>
        </w:rPr>
        <w:t>, případně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průběhu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řízení</w:t>
      </w:r>
      <w:r w:rsidR="007032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zadavatele. </w:t>
      </w:r>
    </w:p>
    <w:p w14:paraId="657180CC" w14:textId="4F57B2A0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oprávněn dle svého uvážení slučovat nebo dělit požadavky jednotlivých </w:t>
      </w:r>
      <w:r w:rsidR="0030328B">
        <w:rPr>
          <w:rFonts w:cs="Arial"/>
          <w:szCs w:val="22"/>
        </w:rPr>
        <w:t>Pověřujících zadavatelů</w:t>
      </w:r>
      <w:r>
        <w:rPr>
          <w:rFonts w:cs="Arial"/>
          <w:szCs w:val="22"/>
        </w:rPr>
        <w:t xml:space="preserve">, pro něž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provádět jednotlivá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až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jejichž účet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06D02B8E" w14:textId="77777777" w:rsidR="001D149D" w:rsidRPr="009135C0" w:rsidRDefault="001D149D" w:rsidP="001D149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>Centrální zadavatel bude informace o čerpání plnění z Prováděcích smluv získávat od jednotlivých dodavatelů. Za účelem ověření informací o čerpání z Prováděcích smluv a splnění souvisejících uveřejňovacích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14:paraId="38E3E64E" w14:textId="575B5F39" w:rsidR="003F6A9F" w:rsidRPr="009135C0" w:rsidRDefault="001D149D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</w:t>
      </w:r>
    </w:p>
    <w:p w14:paraId="6760FBD9" w14:textId="77777777" w:rsidR="003F6A9F" w:rsidRPr="009135C0" w:rsidRDefault="003F6A9F" w:rsidP="003F6A9F">
      <w:pPr>
        <w:pStyle w:val="Prosttext"/>
        <w:ind w:left="576"/>
        <w:jc w:val="both"/>
        <w:rPr>
          <w:rFonts w:ascii="Arial" w:hAnsi="Arial" w:cs="Arial"/>
        </w:rPr>
      </w:pPr>
    </w:p>
    <w:p w14:paraId="7B239BB5" w14:textId="18EC697E" w:rsidR="001D149D" w:rsidRPr="009135C0" w:rsidRDefault="003F6A9F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 xml:space="preserve">Pověřující zadavatel se zavazuje nejpozději do 5 pracovních dnů od nabytí platnosti Prováděcí smlouvy jejím podpisem druhou smluvní stranou, zaslat tuto podepsanou Prováděcí smlouvu prostřednictvím datové schránky Centrálnímu zadavateli k evidenci.    </w:t>
      </w:r>
      <w:r w:rsidR="001D149D" w:rsidRPr="009135C0">
        <w:rPr>
          <w:rFonts w:ascii="Arial" w:hAnsi="Arial" w:cs="Arial"/>
        </w:rPr>
        <w:t xml:space="preserve"> </w:t>
      </w:r>
    </w:p>
    <w:p w14:paraId="4E66F3AA" w14:textId="4097D416" w:rsidR="003672A5" w:rsidRPr="00961931" w:rsidRDefault="003672A5" w:rsidP="00B329CA">
      <w:pPr>
        <w:rPr>
          <w:rFonts w:ascii="Arial" w:hAnsi="Arial" w:cs="Arial"/>
        </w:rPr>
      </w:pPr>
    </w:p>
    <w:p w14:paraId="63FB32C4" w14:textId="780C8F46"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14:paraId="36D77A0C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71E6F8" w14:textId="0CF8A3A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A66812">
        <w:rPr>
          <w:rFonts w:cs="Arial"/>
          <w:szCs w:val="22"/>
        </w:rPr>
        <w:t>Zadávacího</w:t>
      </w:r>
      <w:r w:rsidR="00796A95">
        <w:rPr>
          <w:rFonts w:cs="Arial"/>
          <w:szCs w:val="22"/>
        </w:rPr>
        <w:t xml:space="preserve"> řízení</w:t>
      </w:r>
      <w:r w:rsidR="009F5D0E">
        <w:rPr>
          <w:rFonts w:cs="Arial"/>
          <w:szCs w:val="22"/>
        </w:rPr>
        <w:t xml:space="preserve"> </w:t>
      </w:r>
      <w:r w:rsidR="00A66812">
        <w:rPr>
          <w:rFonts w:cs="Arial"/>
          <w:szCs w:val="22"/>
        </w:rPr>
        <w:t xml:space="preserve">RD </w:t>
      </w:r>
      <w:r w:rsidR="009F5D0E">
        <w:rPr>
          <w:rFonts w:cs="Arial"/>
          <w:szCs w:val="22"/>
        </w:rPr>
        <w:t>a </w:t>
      </w:r>
      <w:r w:rsidR="00A66812">
        <w:rPr>
          <w:rFonts w:cs="Arial"/>
          <w:szCs w:val="22"/>
        </w:rPr>
        <w:t xml:space="preserve">zadávání Dílčí ZVZ RD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14:paraId="43B66BF2" w14:textId="2205E71F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14:paraId="4857F110" w14:textId="6EEA6DBD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>
        <w:rPr>
          <w:rFonts w:eastAsia="Times New Roman" w:cs="Arial"/>
          <w:bCs w:val="0"/>
          <w:szCs w:val="22"/>
          <w:lang w:eastAsia="cs-CZ"/>
        </w:rPr>
        <w:t> </w:t>
      </w:r>
      <w:r w:rsidR="001F6888"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14:paraId="70C7DDF5" w14:textId="68F11434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14:paraId="3E9AF67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EE13D0" w14:textId="4454973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14:paraId="1D7AF19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092542B" w14:textId="77777777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14:paraId="58B3BF3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02BAEF9B" w14:textId="13BD9373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t>Centrální zadavatel</w:t>
      </w:r>
      <w:r>
        <w:rPr>
          <w:rFonts w:cs="Arial"/>
          <w:szCs w:val="22"/>
        </w:rPr>
        <w:t>.</w:t>
      </w:r>
    </w:p>
    <w:p w14:paraId="5886CC3F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6567CE8" w14:textId="51AB1F17" w:rsidR="00371F94" w:rsidRDefault="00F70C8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Pro vyloučení všech pochybností se Smluvní strany dohodly, že při postupu dle</w:t>
      </w:r>
      <w:r w:rsidR="007A09EC" w:rsidDel="007A09EC">
        <w:rPr>
          <w:rFonts w:cs="Arial"/>
          <w:szCs w:val="22"/>
        </w:rPr>
        <w:t xml:space="preserve"> </w:t>
      </w:r>
      <w:r w:rsidR="009158FB">
        <w:rPr>
          <w:rFonts w:cs="Arial"/>
          <w:szCs w:val="22"/>
        </w:rPr>
        <w:t>ustanovení článku </w:t>
      </w:r>
      <w:r w:rsidR="00796A95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 w:rsidR="00371F94"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 xml:space="preserve">této </w:t>
      </w:r>
      <w:r w:rsidR="00371F94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 hradí </w:t>
      </w:r>
      <w:r w:rsidR="00371F94">
        <w:rPr>
          <w:rFonts w:cs="Arial"/>
          <w:szCs w:val="22"/>
        </w:rPr>
        <w:t xml:space="preserve">náklady </w:t>
      </w:r>
      <w:r w:rsidR="00CC0986">
        <w:rPr>
          <w:rFonts w:cs="Arial"/>
          <w:szCs w:val="22"/>
        </w:rPr>
        <w:t>D</w:t>
      </w:r>
      <w:r>
        <w:rPr>
          <w:rFonts w:cs="Arial"/>
          <w:szCs w:val="22"/>
        </w:rPr>
        <w:t>ílčího zadáv</w:t>
      </w:r>
      <w:r w:rsidR="00434A29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434A29">
        <w:rPr>
          <w:rFonts w:cs="Arial"/>
          <w:szCs w:val="22"/>
        </w:rPr>
        <w:t>veřejné</w:t>
      </w:r>
      <w:r w:rsidR="00C752D4">
        <w:rPr>
          <w:rFonts w:cs="Arial"/>
          <w:szCs w:val="22"/>
        </w:rPr>
        <w:t xml:space="preserve"> zakázky</w:t>
      </w:r>
      <w:r>
        <w:rPr>
          <w:rFonts w:cs="Arial"/>
          <w:szCs w:val="22"/>
        </w:rPr>
        <w:t xml:space="preserve"> ten </w:t>
      </w:r>
      <w:r w:rsidR="00371F94">
        <w:rPr>
          <w:rFonts w:cs="Arial"/>
          <w:szCs w:val="22"/>
        </w:rPr>
        <w:t xml:space="preserve">Pověřující zadavatel, který </w:t>
      </w:r>
      <w:r>
        <w:rPr>
          <w:rFonts w:cs="Arial"/>
          <w:szCs w:val="22"/>
        </w:rPr>
        <w:t>takové Dílčí zadáv</w:t>
      </w:r>
      <w:r w:rsidR="00C752D4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C752D4">
        <w:rPr>
          <w:rFonts w:cs="Arial"/>
          <w:szCs w:val="22"/>
        </w:rPr>
        <w:t>veřejné zakázky</w:t>
      </w:r>
      <w:r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samostatně </w:t>
      </w:r>
      <w:r w:rsidR="00C25464">
        <w:rPr>
          <w:rFonts w:cs="Arial"/>
          <w:szCs w:val="22"/>
        </w:rPr>
        <w:t>provádí</w:t>
      </w:r>
      <w:r w:rsidR="00371F94">
        <w:rPr>
          <w:rFonts w:cs="Arial"/>
          <w:szCs w:val="22"/>
        </w:rPr>
        <w:t>.</w:t>
      </w:r>
    </w:p>
    <w:p w14:paraId="7F02AFF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5256ED9" w14:textId="0BE649B9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14:paraId="281A45B0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2F03606" w14:textId="7777777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14:paraId="245549C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6FC9A67" w14:textId="06CC5E14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14:paraId="53BC6152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CEE6306" w14:textId="77777777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ákona, pokud samostatně </w:t>
      </w:r>
      <w:r w:rsidR="00C25464">
        <w:rPr>
          <w:rFonts w:cs="Arial"/>
          <w:szCs w:val="22"/>
        </w:rPr>
        <w:t>realizuje D</w:t>
      </w:r>
      <w:r w:rsidR="00CA3B6D">
        <w:rPr>
          <w:rFonts w:cs="Arial"/>
          <w:szCs w:val="22"/>
        </w:rPr>
        <w:t xml:space="preserve">ílčí </w:t>
      </w:r>
      <w:r w:rsidR="00C25464">
        <w:rPr>
          <w:rFonts w:cs="Arial"/>
          <w:szCs w:val="22"/>
        </w:rPr>
        <w:t>zadáv</w:t>
      </w:r>
      <w:r w:rsidR="00551918">
        <w:rPr>
          <w:rFonts w:cs="Arial"/>
          <w:szCs w:val="22"/>
        </w:rPr>
        <w:t>ání veřejné zakázky</w:t>
      </w:r>
      <w:r>
        <w:rPr>
          <w:rFonts w:cs="Arial"/>
          <w:szCs w:val="22"/>
        </w:rPr>
        <w:t xml:space="preserve">. </w:t>
      </w:r>
      <w:r w:rsidR="00C25464">
        <w:rPr>
          <w:rFonts w:cs="Arial"/>
          <w:szCs w:val="22"/>
        </w:rPr>
        <w:t>Centrální zadavatel neodpovídá za vymezení předmětu Dílčího zadáv</w:t>
      </w:r>
      <w:r w:rsidR="00551918">
        <w:rPr>
          <w:rFonts w:cs="Arial"/>
          <w:szCs w:val="22"/>
        </w:rPr>
        <w:t>ání veřejné zakázky</w:t>
      </w:r>
      <w:r w:rsidR="00C25464">
        <w:rPr>
          <w:rFonts w:cs="Arial"/>
          <w:szCs w:val="22"/>
        </w:rPr>
        <w:t xml:space="preserve"> dle </w:t>
      </w:r>
      <w:r w:rsidR="00796A95">
        <w:rPr>
          <w:rFonts w:cs="Arial"/>
          <w:szCs w:val="22"/>
        </w:rPr>
        <w:t xml:space="preserve">této </w:t>
      </w:r>
      <w:r w:rsidR="00C25464">
        <w:rPr>
          <w:rFonts w:cs="Arial"/>
          <w:szCs w:val="22"/>
        </w:rPr>
        <w:t xml:space="preserve">Smlouvy. </w:t>
      </w:r>
    </w:p>
    <w:p w14:paraId="6059CE05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04184EF" w14:textId="39346F98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rovněž neodpovídá za nekoordinovaný nákup </w:t>
      </w:r>
      <w:r w:rsidR="00796A95">
        <w:rPr>
          <w:rFonts w:cs="Arial"/>
          <w:szCs w:val="22"/>
        </w:rPr>
        <w:t xml:space="preserve">produktů </w:t>
      </w:r>
      <w:r w:rsidR="00E26791">
        <w:rPr>
          <w:rFonts w:cs="Arial"/>
          <w:szCs w:val="22"/>
        </w:rPr>
        <w:t>společnosti</w:t>
      </w:r>
      <w:r w:rsidR="0022724C">
        <w:rPr>
          <w:rFonts w:cs="Arial"/>
          <w:szCs w:val="22"/>
        </w:rPr>
        <w:t xml:space="preserve"> IBM</w:t>
      </w:r>
      <w:r w:rsidR="00796A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Pověřujícím zadavatelem v rozporu se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ákonem.</w:t>
      </w:r>
    </w:p>
    <w:p w14:paraId="1C95ACF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19B8E1" w14:textId="47EF849B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</w:t>
      </w:r>
      <w:r w:rsidR="009158FB">
        <w:rPr>
          <w:rFonts w:cs="Arial"/>
          <w:szCs w:val="22"/>
        </w:rPr>
        <w:t>avatel je povinen ve smyslu § </w:t>
      </w:r>
      <w:r>
        <w:rPr>
          <w:rFonts w:cs="Arial"/>
          <w:szCs w:val="22"/>
        </w:rPr>
        <w:t xml:space="preserve">216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řádně uchovávat dokumentaci</w:t>
      </w:r>
      <w:r w:rsidR="009F5D0E">
        <w:rPr>
          <w:rFonts w:cs="Arial"/>
          <w:szCs w:val="22"/>
        </w:rPr>
        <w:t xml:space="preserve"> o 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adávacím řízení. Na </w:t>
      </w:r>
      <w:r w:rsidR="00CA3B6D">
        <w:rPr>
          <w:rFonts w:cs="Arial"/>
          <w:szCs w:val="22"/>
        </w:rPr>
        <w:t>realizaci Dílčích zadáv</w:t>
      </w:r>
      <w:r w:rsidR="00551918">
        <w:rPr>
          <w:rFonts w:cs="Arial"/>
          <w:szCs w:val="22"/>
        </w:rPr>
        <w:t>ání veřejných zakázek</w:t>
      </w:r>
      <w:r w:rsidR="00CA3B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 pravidla pro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uchovávání dokumentace</w:t>
      </w:r>
      <w:r w:rsidR="009F5D0E">
        <w:rPr>
          <w:rFonts w:cs="Arial"/>
          <w:szCs w:val="22"/>
        </w:rPr>
        <w:t xml:space="preserve"> o </w:t>
      </w:r>
      <w:r w:rsidR="007A09EC">
        <w:rPr>
          <w:rFonts w:cs="Arial"/>
          <w:szCs w:val="22"/>
        </w:rPr>
        <w:t>Z</w:t>
      </w:r>
      <w:r>
        <w:rPr>
          <w:rFonts w:cs="Arial"/>
          <w:szCs w:val="22"/>
        </w:rPr>
        <w:t>adávacím řízení použijí obdobně. V případě postupu dle odst.</w:t>
      </w:r>
      <w:r w:rsidR="007A09EC">
        <w:rPr>
          <w:rFonts w:cs="Arial"/>
          <w:szCs w:val="22"/>
        </w:rPr>
        <w:t> </w:t>
      </w:r>
      <w:r w:rsidR="00796A95">
        <w:rPr>
          <w:rFonts w:cs="Arial"/>
          <w:szCs w:val="22"/>
        </w:rPr>
        <w:t>2.3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</w:t>
      </w:r>
      <w:r w:rsidR="00796A95">
        <w:rPr>
          <w:rFonts w:cs="Arial"/>
          <w:szCs w:val="22"/>
        </w:rPr>
        <w:t> </w:t>
      </w:r>
      <w:r>
        <w:rPr>
          <w:rFonts w:cs="Arial"/>
          <w:szCs w:val="22"/>
        </w:rPr>
        <w:t>c) Smlouvy za řádné uchovávání dokumentace odpovídá Pověřující zadavatel.</w:t>
      </w:r>
    </w:p>
    <w:p w14:paraId="36D6633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A8CF6E" w14:textId="77777777"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C2A8D5F" w14:textId="7C39FE21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14:paraId="477E4A41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D93BDAF" w14:textId="0C671BDC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>
        <w:rPr>
          <w:rFonts w:cs="Arial"/>
          <w:szCs w:val="22"/>
        </w:rPr>
        <w:t> 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řádně dané či učiněné, bude-li doručeno datovou zprávou do datové schránky 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Níže uvedené kontaktní údaje mohou být měněny jednostranným písemným oznámením doručeným Centrálnímu zadavateli nebo </w:t>
      </w:r>
      <w:r w:rsidR="007A09EC">
        <w:rPr>
          <w:rFonts w:cs="Arial"/>
          <w:szCs w:val="22"/>
        </w:rPr>
        <w:t>Pověřujícímu z</w:t>
      </w:r>
      <w:r>
        <w:rPr>
          <w:rFonts w:cs="Arial"/>
          <w:szCs w:val="22"/>
        </w:rPr>
        <w:t>adavateli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tím, že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14:paraId="07E0DD89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589F8704" w14:textId="2DBE5071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</w:t>
      </w:r>
      <w:r w:rsidR="00CB7471">
        <w:rPr>
          <w:rFonts w:cs="Arial"/>
          <w:szCs w:val="22"/>
        </w:rPr>
        <w:t xml:space="preserve"> pro tuto smlouvu</w:t>
      </w:r>
      <w:r>
        <w:rPr>
          <w:rFonts w:cs="Arial"/>
          <w:szCs w:val="22"/>
        </w:rPr>
        <w:t>:</w:t>
      </w:r>
    </w:p>
    <w:p w14:paraId="7B0B91C5" w14:textId="77777777" w:rsidR="00371F94" w:rsidRDefault="00371F9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371F94" w14:paraId="2D697F8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34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07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CF361B" w14:paraId="539E337A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E70" w14:textId="167BEDD1" w:rsidR="00CF361B" w:rsidRDefault="00CF361B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B45" w14:textId="65DBF001" w:rsidR="00CF361B" w:rsidRDefault="00110D48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veřejných zakázek</w:t>
            </w:r>
          </w:p>
          <w:p w14:paraId="008D9BCA" w14:textId="406E0046" w:rsidR="00CB7471" w:rsidRDefault="00CB7471" w:rsidP="00B329CA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371F94" w14:paraId="75DB247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6A6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885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14:paraId="760B8E8E" w14:textId="77777777" w:rsidR="00962532" w:rsidRDefault="00962532" w:rsidP="00962532">
      <w:pPr>
        <w:pStyle w:val="bh3"/>
        <w:widowControl w:val="0"/>
        <w:numPr>
          <w:ilvl w:val="0"/>
          <w:numId w:val="0"/>
        </w:numPr>
        <w:suppressAutoHyphens/>
        <w:ind w:left="1440"/>
        <w:rPr>
          <w:rFonts w:ascii="Arial" w:hAnsi="Arial" w:cs="Arial"/>
          <w:sz w:val="22"/>
          <w:szCs w:val="22"/>
        </w:rPr>
      </w:pPr>
    </w:p>
    <w:p w14:paraId="7312D460" w14:textId="1BA3CD66" w:rsidR="00371F94" w:rsidRDefault="00E2167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</w:t>
      </w:r>
      <w:r w:rsidR="00371F94">
        <w:rPr>
          <w:rFonts w:ascii="Arial" w:hAnsi="Arial" w:cs="Arial"/>
          <w:sz w:val="22"/>
          <w:szCs w:val="22"/>
        </w:rPr>
        <w:t>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371F94" w14:paraId="34332D72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7D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90" w14:textId="0473E7D6" w:rsidR="00371F94" w:rsidRDefault="0022724C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9E14FD" w14:paraId="78B04D2A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B8" w14:textId="306ED9DC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příjmení/Funkce</w:t>
            </w:r>
            <w:r w:rsidR="00CB7471">
              <w:rPr>
                <w:rFonts w:ascii="Arial" w:hAnsi="Arial" w:cs="Arial"/>
              </w:rPr>
              <w:t>/ Telefon/ Email</w:t>
            </w:r>
            <w:r w:rsidR="00F2414B">
              <w:rPr>
                <w:rFonts w:ascii="Arial" w:hAnsi="Arial" w:cs="Arial"/>
              </w:rPr>
              <w:t>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C35" w14:textId="08D48983" w:rsidR="009E14FD" w:rsidRDefault="0022724C" w:rsidP="009E14FD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9E14FD" w14:paraId="5B3449A5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F14" w14:textId="77777777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2BD" w14:textId="50CFD717" w:rsidR="009E14FD" w:rsidRDefault="0022724C" w:rsidP="009E14FD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[DOPLNÍ POVĚŘUJÍCÍ ZADAVATEL]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</w:tbl>
    <w:p w14:paraId="7FFA28BD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3AF9C6C8" w14:textId="5ED4CB89" w:rsidR="00371F94" w:rsidRDefault="00E374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sjednávají, že požadavky na </w:t>
      </w:r>
      <w:r>
        <w:rPr>
          <w:rFonts w:cs="Arial"/>
          <w:szCs w:val="22"/>
        </w:rPr>
        <w:t xml:space="preserve">realizaci </w:t>
      </w:r>
      <w:r w:rsidR="00B82DD3">
        <w:rPr>
          <w:rFonts w:cs="Arial"/>
          <w:szCs w:val="22"/>
        </w:rPr>
        <w:t>zadávání veřejných zakázek na</w:t>
      </w:r>
      <w:r w:rsidR="00EA2EEA">
        <w:rPr>
          <w:rFonts w:cs="Arial"/>
          <w:szCs w:val="22"/>
        </w:rPr>
        <w:t> </w:t>
      </w:r>
      <w:r w:rsidR="00B82DD3">
        <w:rPr>
          <w:rFonts w:cs="Arial"/>
          <w:szCs w:val="22"/>
        </w:rPr>
        <w:t>základě RD</w:t>
      </w:r>
      <w:r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 xml:space="preserve">nebo v zavedeném </w:t>
      </w:r>
      <w:r w:rsidR="007A09EC">
        <w:rPr>
          <w:rFonts w:cs="Arial"/>
          <w:szCs w:val="22"/>
        </w:rPr>
        <w:t>DNS</w:t>
      </w:r>
      <w:r w:rsidR="00796A95"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bude jménem </w:t>
      </w:r>
      <w:r>
        <w:rPr>
          <w:rFonts w:cs="Arial"/>
          <w:szCs w:val="22"/>
        </w:rPr>
        <w:t xml:space="preserve">Pověřujícího </w:t>
      </w:r>
      <w:r w:rsidR="00E21674">
        <w:rPr>
          <w:rFonts w:cs="Arial"/>
          <w:szCs w:val="22"/>
        </w:rPr>
        <w:t>z</w:t>
      </w:r>
      <w:r w:rsidR="00371F94">
        <w:rPr>
          <w:rFonts w:cs="Arial"/>
          <w:szCs w:val="22"/>
        </w:rPr>
        <w:t>adavatele předkládat Centrálnímu zadavatel</w:t>
      </w:r>
      <w:r w:rsidR="009E14FD">
        <w:rPr>
          <w:rFonts w:cs="Arial"/>
          <w:szCs w:val="22"/>
        </w:rPr>
        <w:t>i pouze kontaktní osoba</w:t>
      </w:r>
      <w:r w:rsidR="00371F94">
        <w:rPr>
          <w:rFonts w:cs="Arial"/>
          <w:szCs w:val="22"/>
        </w:rPr>
        <w:t xml:space="preserve">, případně jiné osoby, které </w:t>
      </w:r>
      <w:r w:rsidR="003B1F66">
        <w:rPr>
          <w:rFonts w:cs="Arial"/>
          <w:szCs w:val="22"/>
        </w:rPr>
        <w:t>Pově</w:t>
      </w:r>
      <w:r w:rsidR="00935B5B">
        <w:rPr>
          <w:rFonts w:cs="Arial"/>
          <w:szCs w:val="22"/>
        </w:rPr>
        <w:t>řující</w:t>
      </w:r>
      <w:r w:rsidR="003B1F66">
        <w:rPr>
          <w:rFonts w:cs="Arial"/>
          <w:szCs w:val="22"/>
        </w:rPr>
        <w:t xml:space="preserve"> zadavatel </w:t>
      </w:r>
      <w:r w:rsidR="00371F94">
        <w:rPr>
          <w:rFonts w:cs="Arial"/>
          <w:szCs w:val="22"/>
        </w:rPr>
        <w:t>určí</w:t>
      </w:r>
      <w:r w:rsidR="009F5D0E">
        <w:rPr>
          <w:rFonts w:cs="Arial"/>
          <w:szCs w:val="22"/>
        </w:rPr>
        <w:t xml:space="preserve"> a o </w:t>
      </w:r>
      <w:r w:rsidR="00371F94">
        <w:rPr>
          <w:rFonts w:cs="Arial"/>
          <w:szCs w:val="22"/>
        </w:rPr>
        <w:t xml:space="preserve">kterých </w:t>
      </w:r>
      <w:r w:rsidR="003B1F66">
        <w:rPr>
          <w:rFonts w:cs="Arial"/>
          <w:szCs w:val="22"/>
        </w:rPr>
        <w:t>Pověřující zadavatel</w:t>
      </w:r>
      <w:r w:rsidR="00371F94">
        <w:rPr>
          <w:rFonts w:cs="Arial"/>
          <w:szCs w:val="22"/>
        </w:rPr>
        <w:t xml:space="preserve"> písemně informuje Centrálního zadavatele (kontaktní osoba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takto určené jiné osoby dále jen „</w:t>
      </w:r>
      <w:r w:rsidR="00371F94">
        <w:rPr>
          <w:rFonts w:cs="Arial"/>
          <w:b/>
          <w:szCs w:val="22"/>
        </w:rPr>
        <w:t>Oprávněné osoby</w:t>
      </w:r>
      <w:r w:rsidR="00371F94">
        <w:rPr>
          <w:rFonts w:cs="Arial"/>
          <w:szCs w:val="22"/>
        </w:rPr>
        <w:t>“).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 xml:space="preserve">požadavku předloženému jménem </w:t>
      </w:r>
      <w:r w:rsidR="003B1F66">
        <w:rPr>
          <w:rFonts w:cs="Arial"/>
          <w:szCs w:val="22"/>
        </w:rPr>
        <w:t>Pověřujícího z</w:t>
      </w:r>
      <w:r w:rsidR="00371F94">
        <w:rPr>
          <w:rFonts w:cs="Arial"/>
          <w:szCs w:val="22"/>
        </w:rPr>
        <w:t xml:space="preserve">adavatele někým jiným než Oprávněnou osobou nebude Centrální zadavatel přihlížet. </w:t>
      </w:r>
    </w:p>
    <w:p w14:paraId="1B4BC4B2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C59291" w14:textId="38DCFAAE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Oprávněné osoby mohou být vymezeny jménem nebo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jednoznačnou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nezaměnitelnou identifikací funkčního nebo pracovního zařazení takové osoby u </w:t>
      </w:r>
      <w:r w:rsidR="00E37458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adavatele, přičemž Oprávněnou osobou bude v takovém případě vždy konkrétní osoba, zastávající takto vymezenou funkci nebo pracovní pozici. Kontaktní osobu může </w:t>
      </w:r>
      <w:r w:rsidR="00935B5B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kdykoli měnit doručením písemného oznámení takové změny Centrálnímu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taková změna bude účinná uplynutím třetího (3</w:t>
      </w:r>
      <w:r w:rsidR="00043490">
        <w:rPr>
          <w:rFonts w:cs="Arial"/>
          <w:szCs w:val="22"/>
        </w:rPr>
        <w:t>.</w:t>
      </w:r>
      <w:r>
        <w:rPr>
          <w:rFonts w:cs="Arial"/>
          <w:szCs w:val="22"/>
        </w:rPr>
        <w:t>) dne ode dne doručení takového o</w:t>
      </w:r>
      <w:r w:rsidR="009158FB">
        <w:rPr>
          <w:rFonts w:cs="Arial"/>
          <w:szCs w:val="22"/>
        </w:rPr>
        <w:t>známení Centrálnímu zadavateli.</w:t>
      </w:r>
    </w:p>
    <w:p w14:paraId="6269C1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2EAC0C" w14:textId="77777777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14:paraId="2F8B115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250D4D" w14:textId="0FD55022" w:rsidR="00371F94" w:rsidRPr="00AE24EA" w:rsidRDefault="007A09EC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</w:t>
      </w:r>
      <w:r w:rsidR="00961931">
        <w:rPr>
          <w:rFonts w:ascii="Arial" w:hAnsi="Arial" w:cs="Arial"/>
        </w:rPr>
        <w:t xml:space="preserve">a účinnosti </w:t>
      </w:r>
      <w:r w:rsidR="004F1047">
        <w:rPr>
          <w:rFonts w:ascii="Arial" w:hAnsi="Arial" w:cs="Arial"/>
        </w:rPr>
        <w:t>dnem podpisu druhou</w:t>
      </w:r>
      <w:r w:rsidR="00043490">
        <w:rPr>
          <w:rFonts w:ascii="Arial" w:hAnsi="Arial" w:cs="Arial"/>
        </w:rPr>
        <w:t xml:space="preserve"> Smluvní stranou</w:t>
      </w:r>
      <w:r w:rsidR="00961931">
        <w:rPr>
          <w:rFonts w:ascii="Arial" w:hAnsi="Arial" w:cs="Arial"/>
        </w:rPr>
        <w:t>.</w:t>
      </w:r>
    </w:p>
    <w:p w14:paraId="6A3C397B" w14:textId="0ECF86DB" w:rsidR="000E30C3" w:rsidRPr="00110D48" w:rsidRDefault="00AE24EA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110D48">
        <w:rPr>
          <w:rFonts w:ascii="Arial" w:eastAsia="Times New Roman" w:hAnsi="Arial" w:cs="Arial"/>
          <w:lang w:eastAsia="cs-CZ"/>
        </w:rPr>
        <w:t>Tato Smlouva nahrazuje veškerá předchozí ujednání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dohody Smluvních stran vztahující se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předmětu této Smlouvy. Pro vyloučení všech pochybností Smluvní strany prohlašují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činí nesporným, že nabytím účinnosti této Smlouvy pozbývají účinnosti všechny existující dohody</w:t>
      </w:r>
      <w:r w:rsidR="009F5D0E" w:rsidRPr="00110D48">
        <w:rPr>
          <w:rFonts w:ascii="Arial" w:eastAsia="Times New Roman" w:hAnsi="Arial" w:cs="Arial"/>
          <w:lang w:eastAsia="cs-CZ"/>
        </w:rPr>
        <w:t xml:space="preserve"> o </w:t>
      </w:r>
      <w:r w:rsidRPr="00110D48">
        <w:rPr>
          <w:rFonts w:ascii="Arial" w:eastAsia="Times New Roman" w:hAnsi="Arial" w:cs="Arial"/>
          <w:lang w:eastAsia="cs-CZ"/>
        </w:rPr>
        <w:t>centralizovaném zadávání uzavřené mezi Smluvními stranami ve vztahu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zajištění produktů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 xml:space="preserve">služeb společnosti </w:t>
      </w:r>
      <w:r w:rsidR="0022724C">
        <w:rPr>
          <w:rFonts w:ascii="Arial" w:eastAsia="Times New Roman" w:hAnsi="Arial" w:cs="Arial"/>
          <w:lang w:eastAsia="cs-CZ"/>
        </w:rPr>
        <w:t>IBM</w:t>
      </w:r>
      <w:r w:rsidRPr="00110D48">
        <w:rPr>
          <w:rFonts w:ascii="Arial" w:eastAsia="Times New Roman" w:hAnsi="Arial" w:cs="Arial"/>
          <w:lang w:eastAsia="cs-CZ"/>
        </w:rPr>
        <w:t xml:space="preserve">. </w:t>
      </w:r>
    </w:p>
    <w:p w14:paraId="249340FA" w14:textId="3EA565B9" w:rsidR="00BF6CB4" w:rsidRPr="000E30C3" w:rsidRDefault="007A09EC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mlouva je uzavírána smluvními stranami elektronicky. </w:t>
      </w:r>
      <w:r w:rsidR="00685738" w:rsidRPr="000E30C3">
        <w:rPr>
          <w:rFonts w:ascii="Arial" w:hAnsi="Arial" w:cs="Arial"/>
        </w:rPr>
        <w:t xml:space="preserve">Centrální zadavatel </w:t>
      </w:r>
      <w:r w:rsidR="00BF6CB4" w:rsidRPr="000E30C3">
        <w:rPr>
          <w:rFonts w:ascii="Arial" w:hAnsi="Arial" w:cs="Arial"/>
        </w:rPr>
        <w:t xml:space="preserve">předá neprodleně po podpisu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mlouvy oběma smluvními stranami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mlouvu </w:t>
      </w:r>
      <w:r w:rsidRPr="000E30C3">
        <w:rPr>
          <w:rFonts w:ascii="Arial" w:hAnsi="Arial" w:cs="Arial"/>
        </w:rPr>
        <w:t>P</w:t>
      </w:r>
      <w:r w:rsidR="00BF6CB4" w:rsidRPr="000E30C3">
        <w:rPr>
          <w:rFonts w:ascii="Arial" w:hAnsi="Arial" w:cs="Arial"/>
        </w:rPr>
        <w:t>ověřujícímu zadavateli.</w:t>
      </w:r>
    </w:p>
    <w:p w14:paraId="40307563" w14:textId="77777777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14:paraId="1024D010" w14:textId="77777777" w:rsidR="0022724C" w:rsidRPr="00962532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 w:rsidRPr="00962532"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 w:rsidRPr="00962532">
        <w:rPr>
          <w:rFonts w:ascii="Arial" w:eastAsia="Times New Roman" w:hAnsi="Arial" w:cs="Arial"/>
          <w:lang w:eastAsia="cs-CZ"/>
        </w:rPr>
        <w:t>Z</w:t>
      </w:r>
      <w:r w:rsidRPr="00962532">
        <w:rPr>
          <w:rFonts w:ascii="Arial" w:eastAsia="Times New Roman" w:hAnsi="Arial" w:cs="Arial"/>
          <w:lang w:eastAsia="cs-CZ"/>
        </w:rPr>
        <w:t xml:space="preserve">adávacího řízení </w:t>
      </w:r>
      <w:r w:rsidR="00BF6CB4" w:rsidRPr="00962532">
        <w:rPr>
          <w:rFonts w:ascii="Arial" w:eastAsia="Times New Roman" w:hAnsi="Arial" w:cs="Arial"/>
          <w:lang w:eastAsia="cs-CZ"/>
        </w:rPr>
        <w:t>RD</w:t>
      </w:r>
      <w:r w:rsidR="003D6FCD" w:rsidRPr="00962532">
        <w:rPr>
          <w:rFonts w:ascii="Arial" w:eastAsia="Times New Roman" w:hAnsi="Arial" w:cs="Arial"/>
          <w:lang w:eastAsia="cs-CZ"/>
        </w:rPr>
        <w:t xml:space="preserve">. </w:t>
      </w:r>
    </w:p>
    <w:p w14:paraId="1E142425" w14:textId="4741FBCE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Centrální zadavatel může Smlouvu vypovědět vůči Pověřujícími zadavateli</w:t>
      </w:r>
      <w:r w:rsidR="00962532">
        <w:rPr>
          <w:rFonts w:ascii="Arial" w:hAnsi="Arial" w:cs="Arial"/>
        </w:rPr>
        <w:t xml:space="preserve"> při porušení jeho povinností vyplývajících z této Smlouvy</w:t>
      </w:r>
      <w:r>
        <w:rPr>
          <w:rFonts w:ascii="Arial" w:hAnsi="Arial" w:cs="Arial"/>
        </w:rPr>
        <w:t>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14:paraId="05BB565E" w14:textId="026B6037" w:rsidR="00371F94" w:rsidRPr="009E6874" w:rsidRDefault="00371F94" w:rsidP="009E6874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dohodě smírnou cestou, budou</w:t>
      </w:r>
      <w:r w:rsidR="001F6888">
        <w:rPr>
          <w:rFonts w:eastAsia="Times New Roman" w:cs="Arial"/>
          <w:bCs w:val="0"/>
          <w:szCs w:val="22"/>
          <w:lang w:eastAsia="cs-CZ"/>
        </w:rPr>
        <w:t xml:space="preserve"> dány</w:t>
      </w:r>
      <w:r>
        <w:rPr>
          <w:rFonts w:eastAsia="Times New Roman" w:cs="Arial"/>
          <w:bCs w:val="0"/>
          <w:szCs w:val="22"/>
          <w:lang w:eastAsia="cs-CZ"/>
        </w:rPr>
        <w:t xml:space="preserve"> na návrh Centrálního zadavatele nebo </w:t>
      </w:r>
      <w:r w:rsidR="001F6888">
        <w:rPr>
          <w:rFonts w:eastAsia="Times New Roman" w:cs="Arial"/>
          <w:bCs w:val="0"/>
          <w:szCs w:val="22"/>
          <w:lang w:eastAsia="cs-CZ"/>
        </w:rPr>
        <w:t>Pověřujícího z</w:t>
      </w:r>
      <w:r>
        <w:rPr>
          <w:rFonts w:eastAsia="Times New Roman" w:cs="Arial"/>
          <w:bCs w:val="0"/>
          <w:szCs w:val="22"/>
          <w:lang w:eastAsia="cs-CZ"/>
        </w:rPr>
        <w:t>adavatele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rozhodnutí věcně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a </w:t>
      </w:r>
      <w:r w:rsidR="001F6888" w:rsidDel="001F6888">
        <w:rPr>
          <w:rFonts w:eastAsia="Times New Roman" w:cs="Arial"/>
          <w:bCs w:val="0"/>
          <w:szCs w:val="22"/>
          <w:lang w:eastAsia="cs-CZ"/>
        </w:rPr>
        <w:t xml:space="preserve"> </w:t>
      </w:r>
      <w:r>
        <w:rPr>
          <w:rFonts w:eastAsia="Times New Roman" w:cs="Arial"/>
          <w:bCs w:val="0"/>
          <w:szCs w:val="22"/>
          <w:lang w:eastAsia="cs-CZ"/>
        </w:rPr>
        <w:t>místně příslušnému soudu v České republice.</w:t>
      </w:r>
      <w:r w:rsidR="009E6874">
        <w:rPr>
          <w:rFonts w:eastAsia="Times New Roman" w:cs="Arial"/>
          <w:bCs w:val="0"/>
          <w:szCs w:val="22"/>
          <w:lang w:eastAsia="cs-CZ"/>
        </w:rPr>
        <w:t xml:space="preserve"> Toto ustanovení se netýká vztahů mezi organizačními složkami státu. </w:t>
      </w:r>
    </w:p>
    <w:p w14:paraId="7EED0D17" w14:textId="764E4116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14:paraId="671C2D5B" w14:textId="7396947F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  právním smyslem, případně uzavřít novou smlouvou.</w:t>
      </w:r>
    </w:p>
    <w:p w14:paraId="3F04DB98" w14:textId="40840692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se zveřejněním Smlouvy v souladu</w:t>
      </w:r>
      <w:r w:rsidR="009F5D0E">
        <w:rPr>
          <w:rFonts w:ascii="Arial" w:hAnsi="Arial" w:cs="Arial"/>
        </w:rPr>
        <w:t xml:space="preserve"> s </w:t>
      </w:r>
      <w:r w:rsidR="00594A00">
        <w:rPr>
          <w:rFonts w:ascii="Arial" w:hAnsi="Arial" w:cs="Arial"/>
        </w:rPr>
        <w:t>účinnými</w:t>
      </w:r>
      <w:r>
        <w:rPr>
          <w:rFonts w:ascii="Arial" w:hAnsi="Arial" w:cs="Arial"/>
        </w:rPr>
        <w:t xml:space="preserve"> právními předpisy. Smluvní strany prohlašují, že Smlouva neobsahuje údaje, které tvoří předmět 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14:paraId="38692066" w14:textId="1D21F3FE" w:rsidR="00371F94" w:rsidRDefault="00016EB5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14:paraId="33BDD772" w14:textId="77777777" w:rsidR="00BF6CB4" w:rsidRPr="00BF6CB4" w:rsidRDefault="00BF6CB4" w:rsidP="00BF6CB4"/>
    <w:p w14:paraId="14FF09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1992B6" w14:textId="77777777"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A74D5" w14:paraId="167B36B5" w14:textId="77777777" w:rsidTr="004A74D5">
        <w:tc>
          <w:tcPr>
            <w:tcW w:w="4606" w:type="dxa"/>
          </w:tcPr>
          <w:p w14:paraId="4B1E0A1D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76C4A3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6293B5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14:paraId="75C94F35" w14:textId="1C2F6E0D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961931">
              <w:rPr>
                <w:rFonts w:ascii="Arial" w:hAnsi="Arial" w:cs="Arial"/>
                <w:sz w:val="21"/>
                <w:szCs w:val="21"/>
              </w:rPr>
              <w:t>méno: Mgr. Lenka Přibová</w:t>
            </w:r>
          </w:p>
          <w:p w14:paraId="46F096E5" w14:textId="0E12B0F4" w:rsidR="004A74D5" w:rsidRDefault="00A72E76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ředitelka </w:t>
            </w:r>
            <w:r w:rsidR="00110D48">
              <w:rPr>
                <w:rFonts w:ascii="Arial" w:hAnsi="Arial" w:cs="Arial"/>
                <w:sz w:val="21"/>
                <w:szCs w:val="21"/>
              </w:rPr>
              <w:t>odboru veřejných zakázek</w:t>
            </w:r>
          </w:p>
          <w:p w14:paraId="36B7EF45" w14:textId="5B08447A" w:rsidR="004A74D5" w:rsidRPr="00EA680C" w:rsidRDefault="004A74D5" w:rsidP="0096193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2F8F7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4F5FFD5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C6481FF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56DBD19A" w14:textId="16CE7E52" w:rsidR="004A74D5" w:rsidRDefault="0022724C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Pr="0022724C">
              <w:rPr>
                <w:rFonts w:ascii="Arial" w:hAnsi="Arial" w:cs="Arial"/>
                <w:sz w:val="21"/>
                <w:szCs w:val="21"/>
                <w:highlight w:val="yellow"/>
              </w:rPr>
              <w:instrText xml:space="preserve"> FORMTEXT </w:instrText>
            </w:r>
            <w:r w:rsidRPr="0022724C">
              <w:rPr>
                <w:rFonts w:ascii="Arial" w:hAnsi="Arial" w:cs="Arial"/>
                <w:sz w:val="21"/>
                <w:szCs w:val="21"/>
                <w:highlight w:val="yellow"/>
              </w:rPr>
            </w:r>
            <w:r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separate"/>
            </w:r>
            <w:r w:rsidRPr="0022724C">
              <w:rPr>
                <w:rFonts w:ascii="Arial" w:hAnsi="Arial" w:cs="Arial"/>
                <w:sz w:val="21"/>
                <w:szCs w:val="21"/>
                <w:highlight w:val="yellow"/>
              </w:rPr>
              <w:t>[DOPLNÍ POVĚŘUJÍCÍ ZADAVATEL]</w:t>
            </w:r>
            <w:r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end"/>
            </w:r>
            <w:r w:rsidR="004A74D5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 xml:space="preserve"> – název Zadavatele</w:t>
            </w:r>
            <w:r w:rsidR="004A74D5">
              <w:rPr>
                <w:rFonts w:ascii="Arial" w:hAnsi="Arial" w:cs="Arial"/>
                <w:sz w:val="21"/>
                <w:szCs w:val="21"/>
                <w:highlight w:val="yellow"/>
              </w:rPr>
              <w:t>]</w:t>
            </w:r>
          </w:p>
          <w:p w14:paraId="4A04E31A" w14:textId="0F94558B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Jméno: </w:t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instrText xml:space="preserve"> FORMTEXT </w:instrText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separate"/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t>[DOPLNÍ POVĚŘUJÍCÍ ZADAVATEL]</w:t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8893456" w14:textId="74A49AE9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</w:t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NÍ POVĚŘUJÍCÍ ZADAVATEL]"/>
                  </w:textInput>
                </w:ffData>
              </w:fldChar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instrText xml:space="preserve"> FORMTEXT </w:instrText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separate"/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t>[DOPLNÍ POVĚŘUJÍCÍ ZADAVATEL]</w:t>
            </w:r>
            <w:r w:rsidR="0022724C" w:rsidRPr="0022724C">
              <w:rPr>
                <w:rFonts w:ascii="Arial" w:hAnsi="Arial" w:cs="Arial"/>
                <w:sz w:val="21"/>
                <w:szCs w:val="21"/>
                <w:highlight w:val="yellow"/>
              </w:rPr>
              <w:fldChar w:fldCharType="end"/>
            </w:r>
          </w:p>
          <w:p w14:paraId="40F45009" w14:textId="653A8749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7AF2DC1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8A2D1" w14:textId="4267BCA7" w:rsidR="00371F94" w:rsidRDefault="00371F94" w:rsidP="00110D48">
      <w:pPr>
        <w:widowControl w:val="0"/>
        <w:suppressAutoHyphens/>
        <w:spacing w:after="0" w:line="240" w:lineRule="auto"/>
      </w:pPr>
    </w:p>
    <w:sectPr w:rsidR="00371F94" w:rsidSect="00FE1A1C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22CA8" w14:textId="77777777" w:rsidR="00F13537" w:rsidRDefault="00F13537" w:rsidP="00F13537">
      <w:pPr>
        <w:spacing w:after="0" w:line="240" w:lineRule="auto"/>
      </w:pPr>
      <w:r>
        <w:separator/>
      </w:r>
    </w:p>
  </w:endnote>
  <w:endnote w:type="continuationSeparator" w:id="0">
    <w:p w14:paraId="3317FF63" w14:textId="77777777" w:rsidR="00F13537" w:rsidRDefault="00F13537" w:rsidP="00F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DA7E4" w14:textId="77777777" w:rsidR="00F13537" w:rsidRDefault="00F13537" w:rsidP="00F13537">
      <w:pPr>
        <w:spacing w:after="0" w:line="240" w:lineRule="auto"/>
      </w:pPr>
      <w:r>
        <w:separator/>
      </w:r>
    </w:p>
  </w:footnote>
  <w:footnote w:type="continuationSeparator" w:id="0">
    <w:p w14:paraId="677F5F10" w14:textId="77777777" w:rsidR="00F13537" w:rsidRDefault="00F13537" w:rsidP="00F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9760" w14:textId="72B184AB" w:rsidR="00F13537" w:rsidRDefault="00F13537">
    <w:pPr>
      <w:pStyle w:val="Zhlav"/>
    </w:pPr>
    <w:r>
      <w:rPr>
        <w:noProof/>
        <w:lang w:eastAsia="cs-CZ"/>
      </w:rPr>
      <w:drawing>
        <wp:inline distT="0" distB="0" distL="0" distR="0" wp14:anchorId="1F3B81BE" wp14:editId="48ED25F9">
          <wp:extent cx="1838325" cy="504825"/>
          <wp:effectExtent l="0" t="0" r="9525" b="9525"/>
          <wp:docPr id="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484"/>
    <w:multiLevelType w:val="hybridMultilevel"/>
    <w:tmpl w:val="F508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8" w15:restartNumberingAfterBreak="0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693263"/>
    <w:multiLevelType w:val="multilevel"/>
    <w:tmpl w:val="9F9CB68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 w15:restartNumberingAfterBreak="0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7" w15:restartNumberingAfterBreak="0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8"/>
  </w:num>
  <w:num w:numId="22">
    <w:abstractNumId w:val="0"/>
  </w:num>
  <w:num w:numId="23">
    <w:abstractNumId w:val="11"/>
  </w:num>
  <w:num w:numId="24">
    <w:abstractNumId w:val="10"/>
  </w:num>
  <w:num w:numId="25">
    <w:abstractNumId w:val="2"/>
  </w:num>
  <w:num w:numId="26">
    <w:abstractNumId w:val="6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2E"/>
    <w:rsid w:val="00016EB5"/>
    <w:rsid w:val="00022287"/>
    <w:rsid w:val="0003522D"/>
    <w:rsid w:val="00043490"/>
    <w:rsid w:val="000A3C5D"/>
    <w:rsid w:val="000A4F16"/>
    <w:rsid w:val="000B423D"/>
    <w:rsid w:val="000E30C3"/>
    <w:rsid w:val="00100997"/>
    <w:rsid w:val="00110D48"/>
    <w:rsid w:val="00134308"/>
    <w:rsid w:val="00143B02"/>
    <w:rsid w:val="00157A23"/>
    <w:rsid w:val="001637C7"/>
    <w:rsid w:val="00164812"/>
    <w:rsid w:val="0016506C"/>
    <w:rsid w:val="00174F48"/>
    <w:rsid w:val="00192B16"/>
    <w:rsid w:val="001D149D"/>
    <w:rsid w:val="001E26BB"/>
    <w:rsid w:val="001F61BE"/>
    <w:rsid w:val="001F6888"/>
    <w:rsid w:val="00204BBC"/>
    <w:rsid w:val="00213FA4"/>
    <w:rsid w:val="00220C7A"/>
    <w:rsid w:val="0022724C"/>
    <w:rsid w:val="00260462"/>
    <w:rsid w:val="00280932"/>
    <w:rsid w:val="00286C53"/>
    <w:rsid w:val="002A03AE"/>
    <w:rsid w:val="002B388D"/>
    <w:rsid w:val="002C33EB"/>
    <w:rsid w:val="002D307D"/>
    <w:rsid w:val="002E35D9"/>
    <w:rsid w:val="002F410E"/>
    <w:rsid w:val="002F4587"/>
    <w:rsid w:val="002F720F"/>
    <w:rsid w:val="0030328B"/>
    <w:rsid w:val="00305B25"/>
    <w:rsid w:val="00311132"/>
    <w:rsid w:val="00335738"/>
    <w:rsid w:val="00361F41"/>
    <w:rsid w:val="003672A5"/>
    <w:rsid w:val="00371F94"/>
    <w:rsid w:val="00372BA6"/>
    <w:rsid w:val="00383334"/>
    <w:rsid w:val="00392E4C"/>
    <w:rsid w:val="0039355E"/>
    <w:rsid w:val="003A1A0A"/>
    <w:rsid w:val="003B1F66"/>
    <w:rsid w:val="003C6699"/>
    <w:rsid w:val="003C6DDF"/>
    <w:rsid w:val="003C73B0"/>
    <w:rsid w:val="003D6FCD"/>
    <w:rsid w:val="003F6A9F"/>
    <w:rsid w:val="00402E9A"/>
    <w:rsid w:val="00403290"/>
    <w:rsid w:val="0040497A"/>
    <w:rsid w:val="00414258"/>
    <w:rsid w:val="00433EE9"/>
    <w:rsid w:val="00434A29"/>
    <w:rsid w:val="00476400"/>
    <w:rsid w:val="00477E2B"/>
    <w:rsid w:val="00483C9C"/>
    <w:rsid w:val="004840CF"/>
    <w:rsid w:val="00490045"/>
    <w:rsid w:val="004A74D5"/>
    <w:rsid w:val="004B1327"/>
    <w:rsid w:val="004B4A41"/>
    <w:rsid w:val="004F1047"/>
    <w:rsid w:val="005025C6"/>
    <w:rsid w:val="00517AA6"/>
    <w:rsid w:val="00523472"/>
    <w:rsid w:val="005359A1"/>
    <w:rsid w:val="0054685A"/>
    <w:rsid w:val="00551918"/>
    <w:rsid w:val="00594A00"/>
    <w:rsid w:val="005A1D6B"/>
    <w:rsid w:val="005A4AE0"/>
    <w:rsid w:val="005C6B24"/>
    <w:rsid w:val="005D5880"/>
    <w:rsid w:val="005E5CE2"/>
    <w:rsid w:val="00611D0A"/>
    <w:rsid w:val="00621FFB"/>
    <w:rsid w:val="006511FD"/>
    <w:rsid w:val="006535DC"/>
    <w:rsid w:val="0068257F"/>
    <w:rsid w:val="00685738"/>
    <w:rsid w:val="006B27CC"/>
    <w:rsid w:val="006C147C"/>
    <w:rsid w:val="006D6F14"/>
    <w:rsid w:val="006E6844"/>
    <w:rsid w:val="007032EC"/>
    <w:rsid w:val="007743B9"/>
    <w:rsid w:val="007775B7"/>
    <w:rsid w:val="00781B92"/>
    <w:rsid w:val="00782B8B"/>
    <w:rsid w:val="00790936"/>
    <w:rsid w:val="00796A95"/>
    <w:rsid w:val="007A09EC"/>
    <w:rsid w:val="007A52B1"/>
    <w:rsid w:val="007A5CFD"/>
    <w:rsid w:val="007C18D6"/>
    <w:rsid w:val="007C7D58"/>
    <w:rsid w:val="007D4428"/>
    <w:rsid w:val="007F3A64"/>
    <w:rsid w:val="008018A3"/>
    <w:rsid w:val="0080728E"/>
    <w:rsid w:val="00811DB7"/>
    <w:rsid w:val="00821D9B"/>
    <w:rsid w:val="008903AD"/>
    <w:rsid w:val="008B0191"/>
    <w:rsid w:val="008D07D2"/>
    <w:rsid w:val="008E596B"/>
    <w:rsid w:val="008F0151"/>
    <w:rsid w:val="009135C0"/>
    <w:rsid w:val="009158FB"/>
    <w:rsid w:val="00922DE2"/>
    <w:rsid w:val="00935B5B"/>
    <w:rsid w:val="00944DFD"/>
    <w:rsid w:val="00945FFC"/>
    <w:rsid w:val="00952FDB"/>
    <w:rsid w:val="00961931"/>
    <w:rsid w:val="00962532"/>
    <w:rsid w:val="00976704"/>
    <w:rsid w:val="009A4E16"/>
    <w:rsid w:val="009D269D"/>
    <w:rsid w:val="009D4868"/>
    <w:rsid w:val="009E14FD"/>
    <w:rsid w:val="009E6874"/>
    <w:rsid w:val="009F0F02"/>
    <w:rsid w:val="009F5D0E"/>
    <w:rsid w:val="009F6D1A"/>
    <w:rsid w:val="009F775C"/>
    <w:rsid w:val="00A16D48"/>
    <w:rsid w:val="00A3102D"/>
    <w:rsid w:val="00A479BC"/>
    <w:rsid w:val="00A52E50"/>
    <w:rsid w:val="00A53C9C"/>
    <w:rsid w:val="00A66812"/>
    <w:rsid w:val="00A72E76"/>
    <w:rsid w:val="00A8125C"/>
    <w:rsid w:val="00AE24EA"/>
    <w:rsid w:val="00AF5BC3"/>
    <w:rsid w:val="00B27585"/>
    <w:rsid w:val="00B329CA"/>
    <w:rsid w:val="00B34A0F"/>
    <w:rsid w:val="00B34CA3"/>
    <w:rsid w:val="00B6222A"/>
    <w:rsid w:val="00B75460"/>
    <w:rsid w:val="00B821CA"/>
    <w:rsid w:val="00B82DD3"/>
    <w:rsid w:val="00B87BE9"/>
    <w:rsid w:val="00BA217A"/>
    <w:rsid w:val="00BA6EF2"/>
    <w:rsid w:val="00BB2CB7"/>
    <w:rsid w:val="00BC63F0"/>
    <w:rsid w:val="00BE6785"/>
    <w:rsid w:val="00BF1487"/>
    <w:rsid w:val="00BF6CB4"/>
    <w:rsid w:val="00C114F4"/>
    <w:rsid w:val="00C22FC1"/>
    <w:rsid w:val="00C25464"/>
    <w:rsid w:val="00C333BD"/>
    <w:rsid w:val="00C44977"/>
    <w:rsid w:val="00C56400"/>
    <w:rsid w:val="00C6653F"/>
    <w:rsid w:val="00C66D43"/>
    <w:rsid w:val="00C7466D"/>
    <w:rsid w:val="00C752D4"/>
    <w:rsid w:val="00CA3B6D"/>
    <w:rsid w:val="00CB7471"/>
    <w:rsid w:val="00CC0986"/>
    <w:rsid w:val="00CF0B0A"/>
    <w:rsid w:val="00CF361B"/>
    <w:rsid w:val="00CF45EF"/>
    <w:rsid w:val="00D07F4D"/>
    <w:rsid w:val="00D2206F"/>
    <w:rsid w:val="00D36173"/>
    <w:rsid w:val="00D468DC"/>
    <w:rsid w:val="00D47064"/>
    <w:rsid w:val="00D77424"/>
    <w:rsid w:val="00D843E3"/>
    <w:rsid w:val="00D964B3"/>
    <w:rsid w:val="00DA2A12"/>
    <w:rsid w:val="00DA67D1"/>
    <w:rsid w:val="00DA70C4"/>
    <w:rsid w:val="00DB174D"/>
    <w:rsid w:val="00DB2D8A"/>
    <w:rsid w:val="00DE4540"/>
    <w:rsid w:val="00DE4821"/>
    <w:rsid w:val="00E15736"/>
    <w:rsid w:val="00E21674"/>
    <w:rsid w:val="00E26791"/>
    <w:rsid w:val="00E3008C"/>
    <w:rsid w:val="00E35F3F"/>
    <w:rsid w:val="00E37458"/>
    <w:rsid w:val="00E63CFD"/>
    <w:rsid w:val="00E6653D"/>
    <w:rsid w:val="00E918B3"/>
    <w:rsid w:val="00EA2EEA"/>
    <w:rsid w:val="00EA5625"/>
    <w:rsid w:val="00EA680C"/>
    <w:rsid w:val="00EC3B48"/>
    <w:rsid w:val="00EC71B5"/>
    <w:rsid w:val="00F02352"/>
    <w:rsid w:val="00F13537"/>
    <w:rsid w:val="00F2414B"/>
    <w:rsid w:val="00F329FE"/>
    <w:rsid w:val="00F47EA3"/>
    <w:rsid w:val="00F70C88"/>
    <w:rsid w:val="00FC35A4"/>
    <w:rsid w:val="00FE1A1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D7B"/>
  <w15:docId w15:val="{076577EF-E1C3-42D8-B5EE-F1EA0E9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FE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DBEE-610B-4A3F-8BBB-3C719335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2836</Words>
  <Characters>16735</Characters>
  <Application>Microsoft Office Word</Application>
  <DocSecurity>4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Světla Jarošová</cp:lastModifiedBy>
  <cp:revision>2</cp:revision>
  <cp:lastPrinted>2020-10-22T07:06:00Z</cp:lastPrinted>
  <dcterms:created xsi:type="dcterms:W3CDTF">2020-10-22T15:02:00Z</dcterms:created>
  <dcterms:modified xsi:type="dcterms:W3CDTF">2020-10-22T15:02:00Z</dcterms:modified>
</cp:coreProperties>
</file>