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8F" w:rsidRPr="00DF2B8F" w:rsidRDefault="00DF2B8F" w:rsidP="00DF2B8F">
      <w:pPr>
        <w:pStyle w:val="Svazumstaobc"/>
        <w:rPr>
          <w:b/>
          <w:sz w:val="56"/>
          <w:szCs w:val="56"/>
          <w:u w:val="single"/>
        </w:rPr>
      </w:pPr>
      <w:r w:rsidRPr="00DF2B8F">
        <w:rPr>
          <w:b/>
          <w:sz w:val="56"/>
          <w:szCs w:val="56"/>
          <w:u w:val="single"/>
        </w:rPr>
        <w:t xml:space="preserve">Seznam dokumentů ke GDPR, </w:t>
      </w:r>
      <w:r>
        <w:rPr>
          <w:b/>
          <w:sz w:val="56"/>
          <w:szCs w:val="56"/>
          <w:u w:val="single"/>
        </w:rPr>
        <w:br/>
      </w:r>
      <w:r w:rsidRPr="00DF2B8F">
        <w:rPr>
          <w:b/>
          <w:sz w:val="56"/>
          <w:szCs w:val="56"/>
          <w:u w:val="single"/>
        </w:rPr>
        <w:t>které by obce měly mít připraveny</w:t>
      </w:r>
    </w:p>
    <w:p w:rsidR="00DF2B8F" w:rsidRPr="00DF2B8F" w:rsidRDefault="00DF2B8F" w:rsidP="00DF2B8F">
      <w:pPr>
        <w:pStyle w:val="Svazumstaobc"/>
        <w:rPr>
          <w:b/>
          <w:sz w:val="56"/>
          <w:szCs w:val="56"/>
          <w:u w:val="single"/>
        </w:rPr>
      </w:pPr>
      <w:r w:rsidRPr="00DF2B8F">
        <w:rPr>
          <w:b/>
          <w:sz w:val="56"/>
          <w:szCs w:val="56"/>
          <w:u w:val="single"/>
        </w:rPr>
        <w:t>k 25. květnu 2018</w:t>
      </w:r>
    </w:p>
    <w:p w:rsidR="00DF2B8F" w:rsidRDefault="00DF2B8F" w:rsidP="00DF2B8F">
      <w:pPr>
        <w:pStyle w:val="Svazumstaobc"/>
        <w:tabs>
          <w:tab w:val="left" w:pos="6450"/>
        </w:tabs>
        <w:jc w:val="left"/>
        <w:rPr>
          <w:sz w:val="16"/>
          <w:szCs w:val="16"/>
        </w:rPr>
      </w:pPr>
      <w:r>
        <w:rPr>
          <w:sz w:val="12"/>
          <w:szCs w:val="12"/>
        </w:rPr>
        <w:tab/>
      </w:r>
    </w:p>
    <w:p w:rsidR="00DF2B8F" w:rsidRDefault="00DF2B8F" w:rsidP="00DF2B8F">
      <w:pPr>
        <w:jc w:val="center"/>
        <w:rPr>
          <w:rStyle w:val="NzevChar"/>
        </w:rPr>
      </w:pPr>
    </w:p>
    <w:p w:rsidR="00770F09" w:rsidRPr="00770F09" w:rsidRDefault="00770F09" w:rsidP="00770F09">
      <w:pPr>
        <w:pStyle w:val="Odstavecseseznamem"/>
        <w:spacing w:before="120"/>
        <w:ind w:left="420"/>
        <w:jc w:val="both"/>
        <w:rPr>
          <w:rFonts w:ascii="Times New Roman" w:hAnsi="Times New Roman"/>
          <w:i/>
          <w:iCs/>
          <w:sz w:val="24"/>
          <w:szCs w:val="24"/>
        </w:rPr>
      </w:pPr>
      <w:r w:rsidRPr="00770F09">
        <w:rPr>
          <w:rFonts w:ascii="Times New Roman" w:hAnsi="Times New Roman"/>
          <w:sz w:val="24"/>
          <w:szCs w:val="24"/>
        </w:rPr>
        <w:t>Seznam dokumentů, které budou muset obce mít postupně připraveny a zpracovány podle nároků vyplývajících z účinného obecného nařízení k ochraně osobních údajů (GDPR). Bude doplňován podle nejnovějších informací a stanovisek za věc odpovědných orgánů.</w:t>
      </w:r>
    </w:p>
    <w:p w:rsidR="00770F09" w:rsidRPr="00770F09" w:rsidRDefault="00770F09" w:rsidP="00770F09">
      <w:pPr>
        <w:pStyle w:val="Odstavecseseznamem"/>
        <w:spacing w:before="120"/>
        <w:ind w:left="420"/>
        <w:jc w:val="both"/>
        <w:rPr>
          <w:rFonts w:ascii="Times New Roman" w:hAnsi="Times New Roman"/>
          <w:sz w:val="24"/>
          <w:szCs w:val="24"/>
        </w:rPr>
      </w:pPr>
    </w:p>
    <w:p w:rsidR="004675CE" w:rsidRPr="004675CE" w:rsidRDefault="004675CE" w:rsidP="00D25B4F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4675CE">
        <w:rPr>
          <w:rFonts w:ascii="Times New Roman" w:hAnsi="Times New Roman"/>
          <w:b/>
          <w:sz w:val="24"/>
          <w:szCs w:val="24"/>
        </w:rPr>
        <w:t>Organizační řád</w:t>
      </w:r>
      <w:r w:rsidRPr="004675CE">
        <w:rPr>
          <w:rFonts w:ascii="Times New Roman" w:hAnsi="Times New Roman"/>
          <w:sz w:val="24"/>
          <w:szCs w:val="24"/>
        </w:rPr>
        <w:t xml:space="preserve"> -  obce ho budou muset upravit, doplnit do něj funkci pověřence a další věci dle </w:t>
      </w:r>
      <w:r w:rsidR="005A1D87">
        <w:rPr>
          <w:rFonts w:ascii="Times New Roman" w:hAnsi="Times New Roman"/>
          <w:sz w:val="24"/>
          <w:szCs w:val="24"/>
        </w:rPr>
        <w:t xml:space="preserve">obecného </w:t>
      </w:r>
      <w:r w:rsidRPr="004675CE">
        <w:rPr>
          <w:rFonts w:ascii="Times New Roman" w:hAnsi="Times New Roman"/>
          <w:sz w:val="24"/>
          <w:szCs w:val="24"/>
        </w:rPr>
        <w:t>nařízení</w:t>
      </w:r>
      <w:r w:rsidR="005A1D87">
        <w:rPr>
          <w:rFonts w:ascii="Times New Roman" w:hAnsi="Times New Roman"/>
          <w:sz w:val="24"/>
          <w:szCs w:val="24"/>
        </w:rPr>
        <w:t>.</w:t>
      </w:r>
    </w:p>
    <w:p w:rsidR="004675CE" w:rsidRPr="004675CE" w:rsidRDefault="004675CE" w:rsidP="00D25B4F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4675CE">
        <w:rPr>
          <w:rFonts w:ascii="Times New Roman" w:hAnsi="Times New Roman"/>
          <w:b/>
          <w:sz w:val="24"/>
          <w:szCs w:val="24"/>
        </w:rPr>
        <w:t>Pracovní řád</w:t>
      </w:r>
      <w:r w:rsidR="00F431C9">
        <w:rPr>
          <w:rFonts w:ascii="Times New Roman" w:hAnsi="Times New Roman"/>
          <w:sz w:val="24"/>
          <w:szCs w:val="24"/>
        </w:rPr>
        <w:t xml:space="preserve"> </w:t>
      </w:r>
    </w:p>
    <w:p w:rsidR="004675CE" w:rsidRDefault="004675CE" w:rsidP="00456122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4675CE">
        <w:rPr>
          <w:rFonts w:ascii="Times New Roman" w:hAnsi="Times New Roman"/>
          <w:b/>
          <w:sz w:val="24"/>
          <w:szCs w:val="24"/>
        </w:rPr>
        <w:t>Spisový a skartační řád</w:t>
      </w:r>
      <w:r w:rsidRPr="004675CE">
        <w:rPr>
          <w:rFonts w:ascii="Times New Roman" w:hAnsi="Times New Roman"/>
          <w:sz w:val="24"/>
          <w:szCs w:val="24"/>
        </w:rPr>
        <w:t xml:space="preserve"> – vzor jsme již zveřejnili na webu </w:t>
      </w:r>
      <w:r>
        <w:rPr>
          <w:rFonts w:ascii="Times New Roman" w:hAnsi="Times New Roman"/>
          <w:sz w:val="24"/>
          <w:szCs w:val="24"/>
        </w:rPr>
        <w:t>SMO ČR</w:t>
      </w:r>
      <w:r w:rsidR="00456122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456122" w:rsidRPr="008E7512">
          <w:rPr>
            <w:rStyle w:val="Hypertextovodkaz"/>
            <w:rFonts w:ascii="Times New Roman" w:hAnsi="Times New Roman"/>
            <w:sz w:val="24"/>
            <w:szCs w:val="24"/>
          </w:rPr>
          <w:t>http://smocr.cz/cz/oblasti-cinnosti/gdpr/vzor-spisoveho-a-skartacniho-radu-obce.aspx</w:t>
        </w:r>
      </w:hyperlink>
      <w:r w:rsidR="00456122">
        <w:rPr>
          <w:rFonts w:ascii="Times New Roman" w:hAnsi="Times New Roman"/>
          <w:sz w:val="24"/>
          <w:szCs w:val="24"/>
        </w:rPr>
        <w:t>)</w:t>
      </w:r>
      <w:r w:rsidR="005A1D87">
        <w:rPr>
          <w:rFonts w:ascii="Times New Roman" w:hAnsi="Times New Roman"/>
          <w:sz w:val="24"/>
          <w:szCs w:val="24"/>
        </w:rPr>
        <w:t>.</w:t>
      </w:r>
      <w:r w:rsidR="00456122">
        <w:rPr>
          <w:rFonts w:ascii="Times New Roman" w:hAnsi="Times New Roman"/>
          <w:sz w:val="24"/>
          <w:szCs w:val="24"/>
        </w:rPr>
        <w:t xml:space="preserve"> </w:t>
      </w:r>
    </w:p>
    <w:p w:rsidR="00F431C9" w:rsidRDefault="00FB7BB1" w:rsidP="00456122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B7BB1">
        <w:rPr>
          <w:rFonts w:ascii="Times New Roman" w:hAnsi="Times New Roman"/>
          <w:b/>
          <w:sz w:val="24"/>
          <w:szCs w:val="24"/>
        </w:rPr>
        <w:t>Směrnice pro práci s osobními údaji</w:t>
      </w:r>
      <w:r w:rsidRPr="004675CE">
        <w:rPr>
          <w:rFonts w:ascii="Times New Roman" w:hAnsi="Times New Roman"/>
          <w:sz w:val="24"/>
          <w:szCs w:val="24"/>
        </w:rPr>
        <w:t xml:space="preserve"> –</w:t>
      </w:r>
      <w:r w:rsidR="00F431C9">
        <w:rPr>
          <w:rFonts w:ascii="Times New Roman" w:hAnsi="Times New Roman"/>
          <w:sz w:val="24"/>
          <w:szCs w:val="24"/>
        </w:rPr>
        <w:t xml:space="preserve"> </w:t>
      </w:r>
      <w:r w:rsidR="00F431C9" w:rsidRPr="004675CE">
        <w:rPr>
          <w:rFonts w:ascii="Times New Roman" w:hAnsi="Times New Roman"/>
          <w:sz w:val="24"/>
          <w:szCs w:val="24"/>
        </w:rPr>
        <w:t xml:space="preserve">vzor jsme již zveřejnili na webu </w:t>
      </w:r>
      <w:r w:rsidR="00F431C9">
        <w:rPr>
          <w:rFonts w:ascii="Times New Roman" w:hAnsi="Times New Roman"/>
          <w:sz w:val="24"/>
          <w:szCs w:val="24"/>
        </w:rPr>
        <w:t>SMO ČR</w:t>
      </w:r>
      <w:r w:rsidR="00456122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="00456122" w:rsidRPr="008E7512">
          <w:rPr>
            <w:rStyle w:val="Hypertextovodkaz"/>
            <w:rFonts w:ascii="Times New Roman" w:hAnsi="Times New Roman"/>
            <w:sz w:val="24"/>
            <w:szCs w:val="24"/>
          </w:rPr>
          <w:t>http://smocr.cz/cz/oblasti-cinnosti/gdpr/vzor-vnitrniho-predpisu-smernice-obce-pro-praci-s-osobnimi-udaji.aspx</w:t>
        </w:r>
      </w:hyperlink>
      <w:r w:rsidR="00456122">
        <w:rPr>
          <w:rFonts w:ascii="Times New Roman" w:hAnsi="Times New Roman"/>
          <w:sz w:val="24"/>
          <w:szCs w:val="24"/>
        </w:rPr>
        <w:t>)</w:t>
      </w:r>
      <w:r w:rsidR="005A1D87">
        <w:rPr>
          <w:rFonts w:ascii="Times New Roman" w:hAnsi="Times New Roman"/>
          <w:sz w:val="24"/>
          <w:szCs w:val="24"/>
        </w:rPr>
        <w:t>.</w:t>
      </w:r>
      <w:r w:rsidR="00456122">
        <w:rPr>
          <w:rFonts w:ascii="Times New Roman" w:hAnsi="Times New Roman"/>
          <w:sz w:val="24"/>
          <w:szCs w:val="24"/>
        </w:rPr>
        <w:t xml:space="preserve"> </w:t>
      </w:r>
    </w:p>
    <w:p w:rsidR="00F431C9" w:rsidRDefault="004675CE" w:rsidP="00D25B4F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31C9">
        <w:rPr>
          <w:rFonts w:ascii="Times New Roman" w:hAnsi="Times New Roman"/>
          <w:b/>
          <w:sz w:val="24"/>
          <w:szCs w:val="24"/>
        </w:rPr>
        <w:t>Provozní řád výpočetní techniky</w:t>
      </w:r>
      <w:r w:rsidRPr="00F431C9">
        <w:rPr>
          <w:rFonts w:ascii="Times New Roman" w:hAnsi="Times New Roman"/>
          <w:sz w:val="24"/>
          <w:szCs w:val="24"/>
        </w:rPr>
        <w:t xml:space="preserve"> </w:t>
      </w:r>
    </w:p>
    <w:p w:rsidR="004675CE" w:rsidRPr="00F431C9" w:rsidRDefault="00F431C9" w:rsidP="00D25B4F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Systémová příručka</w:t>
      </w:r>
      <w:r w:rsidR="00770F0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4675CE" w:rsidRPr="00F431C9">
        <w:rPr>
          <w:rFonts w:ascii="Times New Roman" w:hAnsi="Times New Roman"/>
          <w:b/>
          <w:sz w:val="24"/>
          <w:szCs w:val="24"/>
        </w:rPr>
        <w:t>k IS</w:t>
      </w:r>
      <w:r w:rsidRPr="00F431C9">
        <w:rPr>
          <w:rFonts w:ascii="Times New Roman" w:hAnsi="Times New Roman"/>
          <w:sz w:val="24"/>
          <w:szCs w:val="24"/>
        </w:rPr>
        <w:t xml:space="preserve"> </w:t>
      </w:r>
    </w:p>
    <w:p w:rsidR="004675CE" w:rsidRPr="004675CE" w:rsidRDefault="004675CE" w:rsidP="00D25B4F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B7BB1">
        <w:rPr>
          <w:rFonts w:ascii="Times New Roman" w:hAnsi="Times New Roman"/>
          <w:b/>
          <w:sz w:val="24"/>
          <w:szCs w:val="24"/>
        </w:rPr>
        <w:t>Revize stávajících souhlasů</w:t>
      </w:r>
      <w:r w:rsidRPr="004675CE">
        <w:rPr>
          <w:rFonts w:ascii="Times New Roman" w:hAnsi="Times New Roman"/>
          <w:sz w:val="24"/>
          <w:szCs w:val="24"/>
        </w:rPr>
        <w:t xml:space="preserve"> – souhlas</w:t>
      </w:r>
      <w:r w:rsidR="006B32FC">
        <w:rPr>
          <w:rFonts w:ascii="Times New Roman" w:hAnsi="Times New Roman"/>
          <w:sz w:val="24"/>
          <w:szCs w:val="24"/>
        </w:rPr>
        <w:t>y získané</w:t>
      </w:r>
      <w:r w:rsidRPr="004675CE">
        <w:rPr>
          <w:rFonts w:ascii="Times New Roman" w:hAnsi="Times New Roman"/>
          <w:sz w:val="24"/>
          <w:szCs w:val="24"/>
        </w:rPr>
        <w:t xml:space="preserve"> v </w:t>
      </w:r>
      <w:r w:rsidR="006B32FC">
        <w:rPr>
          <w:rFonts w:ascii="Times New Roman" w:hAnsi="Times New Roman"/>
          <w:sz w:val="24"/>
          <w:szCs w:val="24"/>
        </w:rPr>
        <w:t>minulosti – prověřit</w:t>
      </w:r>
      <w:r w:rsidR="005A1D87">
        <w:rPr>
          <w:rFonts w:ascii="Times New Roman" w:hAnsi="Times New Roman"/>
          <w:sz w:val="24"/>
          <w:szCs w:val="24"/>
        </w:rPr>
        <w:t>,</w:t>
      </w:r>
      <w:r w:rsidR="006B32FC">
        <w:rPr>
          <w:rFonts w:ascii="Times New Roman" w:hAnsi="Times New Roman"/>
          <w:sz w:val="24"/>
          <w:szCs w:val="24"/>
        </w:rPr>
        <w:t xml:space="preserve"> zda splňují</w:t>
      </w:r>
      <w:r w:rsidR="005A1D87">
        <w:rPr>
          <w:rFonts w:ascii="Times New Roman" w:hAnsi="Times New Roman"/>
          <w:sz w:val="24"/>
          <w:szCs w:val="24"/>
        </w:rPr>
        <w:t xml:space="preserve"> podmínky obecného nařízení.</w:t>
      </w:r>
    </w:p>
    <w:p w:rsidR="00F431C9" w:rsidRDefault="004675CE" w:rsidP="00D25B4F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31C9">
        <w:rPr>
          <w:rFonts w:ascii="Times New Roman" w:hAnsi="Times New Roman"/>
          <w:b/>
          <w:sz w:val="24"/>
          <w:szCs w:val="24"/>
        </w:rPr>
        <w:t>Informovaný souhlas dle obecného nařízení</w:t>
      </w:r>
      <w:r w:rsidRPr="00F431C9">
        <w:rPr>
          <w:rFonts w:ascii="Times New Roman" w:hAnsi="Times New Roman"/>
          <w:sz w:val="24"/>
          <w:szCs w:val="24"/>
        </w:rPr>
        <w:t xml:space="preserve"> </w:t>
      </w:r>
    </w:p>
    <w:p w:rsidR="004675CE" w:rsidRPr="00F431C9" w:rsidRDefault="004675CE" w:rsidP="00D25B4F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31C9">
        <w:rPr>
          <w:rFonts w:ascii="Times New Roman" w:hAnsi="Times New Roman"/>
          <w:b/>
          <w:sz w:val="24"/>
          <w:szCs w:val="24"/>
        </w:rPr>
        <w:t>Dodatky ke smlouvám s dodavateli software a zpracovateli osobních údajů</w:t>
      </w:r>
      <w:r w:rsidRPr="00F431C9">
        <w:rPr>
          <w:rFonts w:ascii="Times New Roman" w:hAnsi="Times New Roman"/>
          <w:sz w:val="24"/>
          <w:szCs w:val="24"/>
        </w:rPr>
        <w:t xml:space="preserve"> – stanovení požadavků ze strany správce (mlčenlivost, zavázání dalšího zpracova</w:t>
      </w:r>
      <w:r w:rsidR="00F431C9">
        <w:rPr>
          <w:rFonts w:ascii="Times New Roman" w:hAnsi="Times New Roman"/>
          <w:sz w:val="24"/>
          <w:szCs w:val="24"/>
        </w:rPr>
        <w:t>tele, odpovědnost zpracovatel</w:t>
      </w:r>
      <w:r w:rsidR="006B32FC">
        <w:rPr>
          <w:rFonts w:ascii="Times New Roman" w:hAnsi="Times New Roman"/>
          <w:sz w:val="24"/>
          <w:szCs w:val="24"/>
        </w:rPr>
        <w:t>e</w:t>
      </w:r>
      <w:r w:rsidR="00F431C9">
        <w:rPr>
          <w:rFonts w:ascii="Times New Roman" w:hAnsi="Times New Roman"/>
          <w:sz w:val="24"/>
          <w:szCs w:val="24"/>
        </w:rPr>
        <w:t xml:space="preserve">, </w:t>
      </w:r>
      <w:r w:rsidRPr="00F431C9">
        <w:rPr>
          <w:rFonts w:ascii="Times New Roman" w:hAnsi="Times New Roman"/>
          <w:sz w:val="24"/>
          <w:szCs w:val="24"/>
        </w:rPr>
        <w:t>stano</w:t>
      </w:r>
      <w:r w:rsidR="00F431C9">
        <w:rPr>
          <w:rFonts w:ascii="Times New Roman" w:hAnsi="Times New Roman"/>
          <w:sz w:val="24"/>
          <w:szCs w:val="24"/>
        </w:rPr>
        <w:t>vení sankcí za porušení povinností atp.</w:t>
      </w:r>
      <w:r w:rsidRPr="00F431C9">
        <w:rPr>
          <w:rFonts w:ascii="Times New Roman" w:hAnsi="Times New Roman"/>
          <w:sz w:val="24"/>
          <w:szCs w:val="24"/>
        </w:rPr>
        <w:t>)</w:t>
      </w:r>
    </w:p>
    <w:p w:rsidR="004675CE" w:rsidRPr="004675CE" w:rsidRDefault="00FB7BB1" w:rsidP="00D25B4F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B7BB1">
        <w:rPr>
          <w:rFonts w:ascii="Times New Roman" w:hAnsi="Times New Roman"/>
          <w:b/>
          <w:sz w:val="24"/>
          <w:szCs w:val="24"/>
        </w:rPr>
        <w:t>Dohoda o mlčenlivosti s externími pracovníky</w:t>
      </w:r>
      <w:r>
        <w:rPr>
          <w:rFonts w:ascii="Times New Roman" w:hAnsi="Times New Roman"/>
          <w:sz w:val="24"/>
          <w:szCs w:val="24"/>
        </w:rPr>
        <w:t xml:space="preserve"> -  pro obce v mnoha oblastech pracují externisté. Obec by měla uzavřít </w:t>
      </w:r>
      <w:r w:rsidR="004675CE" w:rsidRPr="004675CE">
        <w:rPr>
          <w:rFonts w:ascii="Times New Roman" w:hAnsi="Times New Roman"/>
          <w:sz w:val="24"/>
          <w:szCs w:val="24"/>
        </w:rPr>
        <w:t>dohodu o mlčenlivosti</w:t>
      </w:r>
      <w:r>
        <w:rPr>
          <w:rFonts w:ascii="Times New Roman" w:hAnsi="Times New Roman"/>
          <w:sz w:val="24"/>
          <w:szCs w:val="24"/>
        </w:rPr>
        <w:t xml:space="preserve"> např. s </w:t>
      </w:r>
      <w:r w:rsidRPr="004675CE">
        <w:rPr>
          <w:rFonts w:ascii="Times New Roman" w:hAnsi="Times New Roman"/>
          <w:sz w:val="24"/>
          <w:szCs w:val="24"/>
        </w:rPr>
        <w:t>externím pracovník</w:t>
      </w:r>
      <w:r>
        <w:rPr>
          <w:rFonts w:ascii="Times New Roman" w:hAnsi="Times New Roman"/>
          <w:sz w:val="24"/>
          <w:szCs w:val="24"/>
        </w:rPr>
        <w:t>em IS (IT správce), externí účetní, externí mzdovou účetní atd.</w:t>
      </w:r>
    </w:p>
    <w:p w:rsidR="00F431C9" w:rsidRPr="00F431C9" w:rsidRDefault="00FB7BB1" w:rsidP="00F431C9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B7BB1">
        <w:rPr>
          <w:rFonts w:ascii="Times New Roman" w:hAnsi="Times New Roman"/>
          <w:b/>
          <w:sz w:val="24"/>
          <w:szCs w:val="24"/>
        </w:rPr>
        <w:t xml:space="preserve">Evidence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vytvoření e</w:t>
      </w:r>
      <w:r w:rsidR="004675CE" w:rsidRPr="004675CE">
        <w:rPr>
          <w:rFonts w:ascii="Times New Roman" w:hAnsi="Times New Roman"/>
          <w:sz w:val="24"/>
          <w:szCs w:val="24"/>
        </w:rPr>
        <w:t>vidence kódů elektronického zabezpečovacího zařízení (EZS), evidence razítek, evidence klíčů (komu byly přiděleny), evidence souhlasů, evidence všech přenosných paměťových médií (</w:t>
      </w:r>
      <w:proofErr w:type="spellStart"/>
      <w:r w:rsidR="004675CE" w:rsidRPr="004675CE">
        <w:rPr>
          <w:rFonts w:ascii="Times New Roman" w:hAnsi="Times New Roman"/>
          <w:sz w:val="24"/>
          <w:szCs w:val="24"/>
        </w:rPr>
        <w:t>fla</w:t>
      </w:r>
      <w:r w:rsidR="00F431C9">
        <w:rPr>
          <w:rFonts w:ascii="Times New Roman" w:hAnsi="Times New Roman"/>
          <w:sz w:val="24"/>
          <w:szCs w:val="24"/>
        </w:rPr>
        <w:t>sh</w:t>
      </w:r>
      <w:proofErr w:type="spellEnd"/>
      <w:r w:rsidR="00F431C9">
        <w:rPr>
          <w:rFonts w:ascii="Times New Roman" w:hAnsi="Times New Roman"/>
          <w:sz w:val="24"/>
          <w:szCs w:val="24"/>
        </w:rPr>
        <w:t xml:space="preserve"> disk, CD, externí disk atp.), evidence</w:t>
      </w:r>
      <w:r w:rsidR="00F431C9" w:rsidRPr="00F431C9">
        <w:rPr>
          <w:rFonts w:ascii="Times New Roman" w:hAnsi="Times New Roman"/>
          <w:sz w:val="24"/>
          <w:szCs w:val="24"/>
        </w:rPr>
        <w:t xml:space="preserve"> výpočetní techniky, úložišť dat a programového vybavení používaných ke zpracování osobních údajů. U přenosné výpočetní techniky a úložišť dat se eviduje též osoba odpovědná za využívání přenosného zařízení a za jeho ochranu před neoprávněným přístupem.</w:t>
      </w:r>
      <w:r w:rsidR="004C33DF">
        <w:rPr>
          <w:rFonts w:ascii="Times New Roman" w:hAnsi="Times New Roman"/>
          <w:sz w:val="24"/>
          <w:szCs w:val="24"/>
        </w:rPr>
        <w:t xml:space="preserve"> </w:t>
      </w:r>
    </w:p>
    <w:p w:rsidR="004675CE" w:rsidRPr="004675CE" w:rsidRDefault="004675CE" w:rsidP="00D25B4F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B7BB1">
        <w:rPr>
          <w:rFonts w:ascii="Times New Roman" w:hAnsi="Times New Roman"/>
          <w:b/>
          <w:sz w:val="24"/>
          <w:szCs w:val="24"/>
        </w:rPr>
        <w:lastRenderedPageBreak/>
        <w:t>Seznam osob s přístupem</w:t>
      </w:r>
      <w:r w:rsidRPr="004675CE">
        <w:rPr>
          <w:rFonts w:ascii="Times New Roman" w:hAnsi="Times New Roman"/>
          <w:sz w:val="24"/>
          <w:szCs w:val="24"/>
        </w:rPr>
        <w:t xml:space="preserve"> k základním registrům, k osobním datům ze základních registrů a k Czech Pointu</w:t>
      </w:r>
      <w:r w:rsidR="005A1D87">
        <w:rPr>
          <w:rFonts w:ascii="Times New Roman" w:hAnsi="Times New Roman"/>
          <w:sz w:val="24"/>
          <w:szCs w:val="24"/>
        </w:rPr>
        <w:t>.</w:t>
      </w:r>
    </w:p>
    <w:p w:rsidR="004675CE" w:rsidRPr="004675CE" w:rsidRDefault="004675CE" w:rsidP="00D25B4F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B7BB1">
        <w:rPr>
          <w:rFonts w:ascii="Times New Roman" w:hAnsi="Times New Roman"/>
          <w:b/>
          <w:sz w:val="24"/>
          <w:szCs w:val="24"/>
        </w:rPr>
        <w:t>Analýza (revize) osobních údajů, rizik a procesů</w:t>
      </w:r>
      <w:r w:rsidRPr="004675CE">
        <w:rPr>
          <w:rFonts w:ascii="Times New Roman" w:hAnsi="Times New Roman"/>
          <w:sz w:val="24"/>
          <w:szCs w:val="24"/>
        </w:rPr>
        <w:t xml:space="preserve"> – dobrovolná, ale velmi užitečná</w:t>
      </w:r>
      <w:r w:rsidR="00FB7BB1">
        <w:rPr>
          <w:rFonts w:ascii="Times New Roman" w:hAnsi="Times New Roman"/>
          <w:sz w:val="24"/>
          <w:szCs w:val="24"/>
        </w:rPr>
        <w:t>. Z analýzy se vychází při zpracování dokumentace k prokázání souladu s GDPR, např. záznamů o činnostech zpracování</w:t>
      </w:r>
      <w:r w:rsidR="005A1D87">
        <w:rPr>
          <w:rFonts w:ascii="Times New Roman" w:hAnsi="Times New Roman"/>
          <w:sz w:val="24"/>
          <w:szCs w:val="24"/>
        </w:rPr>
        <w:t>.</w:t>
      </w:r>
    </w:p>
    <w:p w:rsidR="004675CE" w:rsidRPr="004675CE" w:rsidRDefault="004675CE" w:rsidP="00D25B4F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B7BB1">
        <w:rPr>
          <w:rFonts w:ascii="Times New Roman" w:hAnsi="Times New Roman"/>
          <w:b/>
          <w:sz w:val="24"/>
          <w:szCs w:val="24"/>
        </w:rPr>
        <w:t>Záznamy o činnosti zpracování</w:t>
      </w:r>
      <w:r w:rsidRPr="004675CE">
        <w:rPr>
          <w:rFonts w:ascii="Times New Roman" w:hAnsi="Times New Roman"/>
          <w:sz w:val="24"/>
          <w:szCs w:val="24"/>
        </w:rPr>
        <w:t xml:space="preserve"> – povinné pro prokázání souladu s GDPR, dle čl. 30 obecného nařízení</w:t>
      </w:r>
      <w:r w:rsidR="005A1D87">
        <w:rPr>
          <w:rFonts w:ascii="Times New Roman" w:hAnsi="Times New Roman"/>
          <w:sz w:val="24"/>
          <w:szCs w:val="24"/>
        </w:rPr>
        <w:t>.</w:t>
      </w:r>
    </w:p>
    <w:p w:rsidR="004675CE" w:rsidRDefault="004675CE" w:rsidP="00D25B4F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BB1">
        <w:rPr>
          <w:rFonts w:ascii="Times New Roman" w:hAnsi="Times New Roman"/>
          <w:b/>
          <w:sz w:val="24"/>
          <w:szCs w:val="24"/>
        </w:rPr>
        <w:t>Technicko</w:t>
      </w:r>
      <w:proofErr w:type="spellEnd"/>
      <w:r w:rsidRPr="00FB7BB1">
        <w:rPr>
          <w:rFonts w:ascii="Times New Roman" w:hAnsi="Times New Roman"/>
          <w:b/>
          <w:sz w:val="24"/>
          <w:szCs w:val="24"/>
        </w:rPr>
        <w:t xml:space="preserve"> - organizační opatření</w:t>
      </w:r>
      <w:r w:rsidRPr="004675CE">
        <w:rPr>
          <w:rFonts w:ascii="Times New Roman" w:hAnsi="Times New Roman"/>
          <w:sz w:val="24"/>
          <w:szCs w:val="24"/>
        </w:rPr>
        <w:t xml:space="preserve"> – </w:t>
      </w:r>
      <w:r w:rsidR="006B32FC">
        <w:rPr>
          <w:rFonts w:ascii="Times New Roman" w:hAnsi="Times New Roman"/>
          <w:sz w:val="24"/>
          <w:szCs w:val="24"/>
        </w:rPr>
        <w:t>obec vede evidenci opatření k zabezpečení osobních údajů. P</w:t>
      </w:r>
      <w:r w:rsidRPr="004675CE">
        <w:rPr>
          <w:rFonts w:ascii="Times New Roman" w:hAnsi="Times New Roman"/>
          <w:sz w:val="24"/>
          <w:szCs w:val="24"/>
        </w:rPr>
        <w:t>okud existuje vnitřní předpis upravující ochranu osobních údajů (např. pro komunikaci s bezpečnostní službou, odchodu z kanceláře, vytváření a úschovy kopií dat atp.)</w:t>
      </w:r>
      <w:r w:rsidR="006B32FC">
        <w:rPr>
          <w:rFonts w:ascii="Times New Roman" w:hAnsi="Times New Roman"/>
          <w:sz w:val="24"/>
          <w:szCs w:val="24"/>
        </w:rPr>
        <w:t xml:space="preserve"> -</w:t>
      </w:r>
      <w:r w:rsidRPr="004675CE">
        <w:rPr>
          <w:rFonts w:ascii="Times New Roman" w:hAnsi="Times New Roman"/>
          <w:sz w:val="24"/>
          <w:szCs w:val="24"/>
        </w:rPr>
        <w:t xml:space="preserve"> provést jeho revizi a doplnit či změnit</w:t>
      </w:r>
      <w:r w:rsidR="006B32FC">
        <w:rPr>
          <w:rFonts w:ascii="Times New Roman" w:hAnsi="Times New Roman"/>
          <w:sz w:val="24"/>
          <w:szCs w:val="24"/>
        </w:rPr>
        <w:t>.</w:t>
      </w:r>
    </w:p>
    <w:p w:rsidR="00D25B4F" w:rsidRPr="00F431C9" w:rsidRDefault="004675CE" w:rsidP="00F431C9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31C9">
        <w:rPr>
          <w:rFonts w:ascii="Times New Roman" w:hAnsi="Times New Roman"/>
          <w:b/>
          <w:sz w:val="24"/>
          <w:szCs w:val="24"/>
        </w:rPr>
        <w:t>Řízení přístupů</w:t>
      </w:r>
      <w:r w:rsidRPr="00F431C9">
        <w:rPr>
          <w:rFonts w:ascii="Times New Roman" w:hAnsi="Times New Roman"/>
          <w:sz w:val="24"/>
          <w:szCs w:val="24"/>
        </w:rPr>
        <w:t xml:space="preserve"> – udělování oprávnění pracovníkům a jejich poučení o ochraně osobních údajů</w:t>
      </w:r>
      <w:r w:rsidR="00D25B4F" w:rsidRPr="00F431C9">
        <w:rPr>
          <w:rFonts w:ascii="Times New Roman" w:hAnsi="Times New Roman"/>
          <w:sz w:val="24"/>
          <w:szCs w:val="24"/>
        </w:rPr>
        <w:t xml:space="preserve">. Vést např. na kartě „Pověření k přidělení přístupových práv pracovníka k jednotlivým SW aplikacím v rámci informačního systému obce“. </w:t>
      </w:r>
    </w:p>
    <w:p w:rsidR="004675CE" w:rsidRPr="00F431C9" w:rsidRDefault="004675CE" w:rsidP="00F431C9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F431C9">
        <w:rPr>
          <w:rFonts w:ascii="Times New Roman" w:hAnsi="Times New Roman"/>
          <w:b/>
          <w:sz w:val="24"/>
          <w:szCs w:val="24"/>
        </w:rPr>
        <w:t>Popis a definice postupu při narušení zabezpečení osobních údajů</w:t>
      </w:r>
      <w:r w:rsidRPr="00F431C9">
        <w:rPr>
          <w:rFonts w:ascii="Times New Roman" w:hAnsi="Times New Roman"/>
          <w:sz w:val="24"/>
          <w:szCs w:val="24"/>
        </w:rPr>
        <w:t xml:space="preserve"> – </w:t>
      </w:r>
      <w:r w:rsidR="00D25B4F" w:rsidRPr="00F431C9">
        <w:rPr>
          <w:rFonts w:ascii="Times New Roman" w:hAnsi="Times New Roman"/>
          <w:sz w:val="24"/>
          <w:szCs w:val="24"/>
        </w:rPr>
        <w:t>pravidla pro oznamování</w:t>
      </w:r>
      <w:r w:rsidRPr="00F431C9">
        <w:rPr>
          <w:rFonts w:ascii="Times New Roman" w:hAnsi="Times New Roman"/>
          <w:sz w:val="24"/>
          <w:szCs w:val="24"/>
        </w:rPr>
        <w:t xml:space="preserve">  bezpečnostního incidentu ÚOOÚ, určení osoby odpovědné za ohlášení BI</w:t>
      </w:r>
      <w:r w:rsidR="005A1D87">
        <w:rPr>
          <w:rFonts w:ascii="Times New Roman" w:hAnsi="Times New Roman"/>
          <w:sz w:val="24"/>
          <w:szCs w:val="24"/>
        </w:rPr>
        <w:t>.</w:t>
      </w:r>
    </w:p>
    <w:p w:rsidR="004675CE" w:rsidRPr="00417AF0" w:rsidRDefault="004675CE" w:rsidP="00417AF0">
      <w:pPr>
        <w:pStyle w:val="Odstavecseseznamem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D25B4F">
        <w:rPr>
          <w:rFonts w:ascii="Times New Roman" w:hAnsi="Times New Roman"/>
          <w:b/>
          <w:sz w:val="24"/>
          <w:szCs w:val="24"/>
        </w:rPr>
        <w:t>Ustanovení pověřence</w:t>
      </w:r>
      <w:r w:rsidRPr="004675CE">
        <w:rPr>
          <w:rFonts w:ascii="Times New Roman" w:hAnsi="Times New Roman"/>
          <w:sz w:val="24"/>
          <w:szCs w:val="24"/>
        </w:rPr>
        <w:t xml:space="preserve"> pro ochranu osobních údajů (včetně smluvního vztahu), </w:t>
      </w:r>
      <w:r w:rsidR="00091FCE" w:rsidRPr="004675CE">
        <w:rPr>
          <w:rFonts w:ascii="Times New Roman" w:hAnsi="Times New Roman"/>
          <w:sz w:val="24"/>
          <w:szCs w:val="24"/>
        </w:rPr>
        <w:t>zveřejnění kontaktních údajů pověřence</w:t>
      </w:r>
      <w:r w:rsidR="005A1D87">
        <w:rPr>
          <w:rFonts w:ascii="Times New Roman" w:hAnsi="Times New Roman"/>
          <w:sz w:val="24"/>
          <w:szCs w:val="24"/>
        </w:rPr>
        <w:t>.</w:t>
      </w:r>
    </w:p>
    <w:sectPr w:rsidR="004675CE" w:rsidRPr="00417AF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8E" w:rsidRDefault="00334B8E" w:rsidP="00DF2B8F">
      <w:pPr>
        <w:spacing w:after="0" w:line="240" w:lineRule="auto"/>
      </w:pPr>
      <w:r>
        <w:separator/>
      </w:r>
    </w:p>
  </w:endnote>
  <w:endnote w:type="continuationSeparator" w:id="0">
    <w:p w:rsidR="00334B8E" w:rsidRDefault="00334B8E" w:rsidP="00DF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roman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8F" w:rsidRPr="00DF2B8F" w:rsidRDefault="00DF2B8F" w:rsidP="00DF2B8F">
    <w:pPr>
      <w:pStyle w:val="Zpat"/>
    </w:pPr>
  </w:p>
  <w:p w:rsidR="00DF2B8F" w:rsidRPr="00DF2B8F" w:rsidRDefault="00334B8E" w:rsidP="00DF2B8F">
    <w:pPr>
      <w:pStyle w:val="Zpat"/>
    </w:pPr>
    <w:hyperlink r:id="rId1" w:history="1">
      <w:r w:rsidR="00DF2B8F" w:rsidRPr="00DF2B8F">
        <w:rPr>
          <w:rStyle w:val="Hypertextovodkaz"/>
        </w:rPr>
        <w:t>www.smocr.cz</w:t>
      </w:r>
    </w:hyperlink>
    <w:r w:rsidR="00DF2B8F" w:rsidRPr="00DF2B8F">
      <w:tab/>
    </w:r>
    <w:r w:rsidR="00DF2B8F" w:rsidRPr="00DF2B8F">
      <w:fldChar w:fldCharType="begin"/>
    </w:r>
    <w:r w:rsidR="00DF2B8F" w:rsidRPr="00DF2B8F">
      <w:instrText>PAGE   \* MERGEFORMAT</w:instrText>
    </w:r>
    <w:r w:rsidR="00DF2B8F" w:rsidRPr="00DF2B8F">
      <w:fldChar w:fldCharType="separate"/>
    </w:r>
    <w:r w:rsidR="00770F09">
      <w:rPr>
        <w:noProof/>
      </w:rPr>
      <w:t>1</w:t>
    </w:r>
    <w:r w:rsidR="00DF2B8F" w:rsidRPr="00DF2B8F">
      <w:fldChar w:fldCharType="end"/>
    </w:r>
  </w:p>
  <w:p w:rsidR="00DF2B8F" w:rsidRDefault="00DF2B8F">
    <w:pPr>
      <w:pStyle w:val="Zpat"/>
    </w:pPr>
  </w:p>
  <w:p w:rsidR="00DF2B8F" w:rsidRDefault="00DF2B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8E" w:rsidRDefault="00334B8E" w:rsidP="00DF2B8F">
      <w:pPr>
        <w:spacing w:after="0" w:line="240" w:lineRule="auto"/>
      </w:pPr>
      <w:r>
        <w:separator/>
      </w:r>
    </w:p>
  </w:footnote>
  <w:footnote w:type="continuationSeparator" w:id="0">
    <w:p w:rsidR="00334B8E" w:rsidRDefault="00334B8E" w:rsidP="00DF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8F" w:rsidRDefault="00AB3C25" w:rsidP="00DF2B8F">
    <w:pPr>
      <w:pStyle w:val="Zhlav"/>
      <w:pBdr>
        <w:bottom w:val="single" w:sz="4" w:space="1" w:color="0081C2"/>
      </w:pBdr>
      <w:jc w:val="center"/>
      <w:rPr>
        <w:noProof/>
      </w:rPr>
    </w:pPr>
    <w:r>
      <w:rPr>
        <w:noProof/>
        <w:lang w:eastAsia="cs-CZ"/>
      </w:rPr>
      <w:drawing>
        <wp:inline distT="0" distB="0" distL="0" distR="0">
          <wp:extent cx="914400" cy="652145"/>
          <wp:effectExtent l="0" t="0" r="0" b="0"/>
          <wp:docPr id="1" name="obrázek 1" descr="SMOCR_blu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MOCR_blu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B8F" w:rsidRPr="00885B9B" w:rsidRDefault="00DF2B8F" w:rsidP="00DF2B8F">
    <w:pPr>
      <w:pStyle w:val="Zhlav"/>
      <w:pBdr>
        <w:bottom w:val="single" w:sz="4" w:space="1" w:color="0081C2"/>
      </w:pBdr>
      <w:jc w:val="center"/>
      <w:rPr>
        <w:noProof/>
      </w:rPr>
    </w:pPr>
  </w:p>
  <w:p w:rsidR="00DF2B8F" w:rsidRDefault="00DF2B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2719"/>
    <w:multiLevelType w:val="hybridMultilevel"/>
    <w:tmpl w:val="A7F26776"/>
    <w:lvl w:ilvl="0" w:tplc="3B2A3760">
      <w:numFmt w:val="bullet"/>
      <w:lvlText w:val="-"/>
      <w:lvlJc w:val="left"/>
      <w:pPr>
        <w:ind w:left="420" w:hanging="360"/>
      </w:pPr>
      <w:rPr>
        <w:rFonts w:ascii="times roman" w:eastAsia="Calibri" w:hAnsi="times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F32046A"/>
    <w:multiLevelType w:val="hybridMultilevel"/>
    <w:tmpl w:val="032E68AE"/>
    <w:lvl w:ilvl="0" w:tplc="50320058">
      <w:start w:val="1"/>
      <w:numFmt w:val="lowerRoman"/>
      <w:pStyle w:val="Nzev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CE"/>
    <w:rsid w:val="00055A8D"/>
    <w:rsid w:val="00091FCE"/>
    <w:rsid w:val="00334B8E"/>
    <w:rsid w:val="00417AF0"/>
    <w:rsid w:val="00456122"/>
    <w:rsid w:val="004675CE"/>
    <w:rsid w:val="004C33DF"/>
    <w:rsid w:val="005A1D87"/>
    <w:rsid w:val="006B32FC"/>
    <w:rsid w:val="00770F09"/>
    <w:rsid w:val="00814281"/>
    <w:rsid w:val="00AB3C25"/>
    <w:rsid w:val="00C72DE9"/>
    <w:rsid w:val="00D25B4F"/>
    <w:rsid w:val="00DF2B8F"/>
    <w:rsid w:val="00F431C9"/>
    <w:rsid w:val="00F86952"/>
    <w:rsid w:val="00FB7BB1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5CE"/>
    <w:pPr>
      <w:spacing w:after="0" w:line="240" w:lineRule="auto"/>
      <w:ind w:left="720"/>
    </w:pPr>
  </w:style>
  <w:style w:type="paragraph" w:customStyle="1" w:styleId="Svazumstaobc">
    <w:name w:val="Svazu měst a obcí"/>
    <w:link w:val="SvazumstaobcChar"/>
    <w:qFormat/>
    <w:rsid w:val="00DF2B8F"/>
    <w:pPr>
      <w:pBdr>
        <w:bottom w:val="single" w:sz="4" w:space="1" w:color="0081C2"/>
      </w:pBdr>
      <w:jc w:val="center"/>
    </w:pPr>
    <w:rPr>
      <w:color w:val="0081C2"/>
      <w:sz w:val="36"/>
      <w:szCs w:val="36"/>
    </w:rPr>
  </w:style>
  <w:style w:type="character" w:customStyle="1" w:styleId="SvazumstaobcChar">
    <w:name w:val="Svazu měst a obcí Char"/>
    <w:link w:val="Svazumstaobc"/>
    <w:rsid w:val="00DF2B8F"/>
    <w:rPr>
      <w:rFonts w:ascii="Calibri" w:eastAsia="Calibri" w:hAnsi="Calibri" w:cs="Times New Roman"/>
      <w:color w:val="0081C2"/>
      <w:sz w:val="36"/>
      <w:szCs w:val="36"/>
      <w:lang w:eastAsia="cs-CZ"/>
    </w:rPr>
  </w:style>
  <w:style w:type="paragraph" w:styleId="Nzev">
    <w:name w:val="Title"/>
    <w:basedOn w:val="Odstavecseseznamem"/>
    <w:next w:val="Normln"/>
    <w:link w:val="NzevChar"/>
    <w:uiPriority w:val="10"/>
    <w:qFormat/>
    <w:rsid w:val="00DF2B8F"/>
    <w:pPr>
      <w:numPr>
        <w:numId w:val="2"/>
      </w:numPr>
      <w:spacing w:after="200" w:line="276" w:lineRule="auto"/>
      <w:contextualSpacing/>
      <w:jc w:val="center"/>
    </w:pPr>
    <w:rPr>
      <w:b/>
      <w:sz w:val="40"/>
      <w:szCs w:val="32"/>
      <w:u w:val="single"/>
    </w:rPr>
  </w:style>
  <w:style w:type="character" w:customStyle="1" w:styleId="NzevChar">
    <w:name w:val="Název Char"/>
    <w:link w:val="Nzev"/>
    <w:uiPriority w:val="10"/>
    <w:rsid w:val="00DF2B8F"/>
    <w:rPr>
      <w:b/>
      <w:sz w:val="40"/>
      <w:szCs w:val="3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B8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B8F"/>
  </w:style>
  <w:style w:type="paragraph" w:styleId="Zpat">
    <w:name w:val="footer"/>
    <w:basedOn w:val="Normln"/>
    <w:link w:val="ZpatChar"/>
    <w:uiPriority w:val="99"/>
    <w:unhideWhenUsed/>
    <w:rsid w:val="00DF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B8F"/>
  </w:style>
  <w:style w:type="character" w:styleId="Hypertextovodkaz">
    <w:name w:val="Hyperlink"/>
    <w:uiPriority w:val="99"/>
    <w:unhideWhenUsed/>
    <w:rsid w:val="00DF2B8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5CE"/>
    <w:pPr>
      <w:spacing w:after="0" w:line="240" w:lineRule="auto"/>
      <w:ind w:left="720"/>
    </w:pPr>
  </w:style>
  <w:style w:type="paragraph" w:customStyle="1" w:styleId="Svazumstaobc">
    <w:name w:val="Svazu měst a obcí"/>
    <w:link w:val="SvazumstaobcChar"/>
    <w:qFormat/>
    <w:rsid w:val="00DF2B8F"/>
    <w:pPr>
      <w:pBdr>
        <w:bottom w:val="single" w:sz="4" w:space="1" w:color="0081C2"/>
      </w:pBdr>
      <w:jc w:val="center"/>
    </w:pPr>
    <w:rPr>
      <w:color w:val="0081C2"/>
      <w:sz w:val="36"/>
      <w:szCs w:val="36"/>
    </w:rPr>
  </w:style>
  <w:style w:type="character" w:customStyle="1" w:styleId="SvazumstaobcChar">
    <w:name w:val="Svazu měst a obcí Char"/>
    <w:link w:val="Svazumstaobc"/>
    <w:rsid w:val="00DF2B8F"/>
    <w:rPr>
      <w:rFonts w:ascii="Calibri" w:eastAsia="Calibri" w:hAnsi="Calibri" w:cs="Times New Roman"/>
      <w:color w:val="0081C2"/>
      <w:sz w:val="36"/>
      <w:szCs w:val="36"/>
      <w:lang w:eastAsia="cs-CZ"/>
    </w:rPr>
  </w:style>
  <w:style w:type="paragraph" w:styleId="Nzev">
    <w:name w:val="Title"/>
    <w:basedOn w:val="Odstavecseseznamem"/>
    <w:next w:val="Normln"/>
    <w:link w:val="NzevChar"/>
    <w:uiPriority w:val="10"/>
    <w:qFormat/>
    <w:rsid w:val="00DF2B8F"/>
    <w:pPr>
      <w:numPr>
        <w:numId w:val="2"/>
      </w:numPr>
      <w:spacing w:after="200" w:line="276" w:lineRule="auto"/>
      <w:contextualSpacing/>
      <w:jc w:val="center"/>
    </w:pPr>
    <w:rPr>
      <w:b/>
      <w:sz w:val="40"/>
      <w:szCs w:val="32"/>
      <w:u w:val="single"/>
    </w:rPr>
  </w:style>
  <w:style w:type="character" w:customStyle="1" w:styleId="NzevChar">
    <w:name w:val="Název Char"/>
    <w:link w:val="Nzev"/>
    <w:uiPriority w:val="10"/>
    <w:rsid w:val="00DF2B8F"/>
    <w:rPr>
      <w:b/>
      <w:sz w:val="40"/>
      <w:szCs w:val="3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B8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B8F"/>
  </w:style>
  <w:style w:type="paragraph" w:styleId="Zpat">
    <w:name w:val="footer"/>
    <w:basedOn w:val="Normln"/>
    <w:link w:val="ZpatChar"/>
    <w:uiPriority w:val="99"/>
    <w:unhideWhenUsed/>
    <w:rsid w:val="00DF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B8F"/>
  </w:style>
  <w:style w:type="character" w:styleId="Hypertextovodkaz">
    <w:name w:val="Hyperlink"/>
    <w:uiPriority w:val="99"/>
    <w:unhideWhenUsed/>
    <w:rsid w:val="00DF2B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mocr.cz/cz/oblasti-cinnosti/gdpr/vzor-vnitrniho-predpisu-smernice-obce-pro-praci-s-osobnimi-udaji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mocr.cz/cz/oblasti-cinnosti/gdpr/vzor-spisoveho-a-skartacniho-radu-obce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o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15CC-6FB2-4D4C-BEDC-1055DFF1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3414</CharactersWithSpaces>
  <SharedDoc>false</SharedDoc>
  <HLinks>
    <vt:vector size="18" baseType="variant"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http://smocr.cz/cz/oblasti-cinnosti/gdpr/vzor-vnitrniho-predpisu-smernice-obce-pro-praci-s-osobnimi-udaji.aspx</vt:lpwstr>
      </vt:variant>
      <vt:variant>
        <vt:lpwstr/>
      </vt:variant>
      <vt:variant>
        <vt:i4>131160</vt:i4>
      </vt:variant>
      <vt:variant>
        <vt:i4>0</vt:i4>
      </vt:variant>
      <vt:variant>
        <vt:i4>0</vt:i4>
      </vt:variant>
      <vt:variant>
        <vt:i4>5</vt:i4>
      </vt:variant>
      <vt:variant>
        <vt:lpwstr>http://smocr.cz/cz/oblasti-cinnosti/gdpr/vzor-spisoveho-a-skartacniho-radu-obce.aspx</vt:lpwstr>
      </vt:variant>
      <vt:variant>
        <vt:lpwstr/>
      </vt:variant>
      <vt:variant>
        <vt:i4>589834</vt:i4>
      </vt:variant>
      <vt:variant>
        <vt:i4>0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Chládková</dc:creator>
  <cp:lastModifiedBy>Petra Kubařová</cp:lastModifiedBy>
  <cp:revision>2</cp:revision>
  <dcterms:created xsi:type="dcterms:W3CDTF">2018-05-22T10:06:00Z</dcterms:created>
  <dcterms:modified xsi:type="dcterms:W3CDTF">2018-05-22T10:06:00Z</dcterms:modified>
</cp:coreProperties>
</file>