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E1" w:rsidRPr="00CD2F45" w:rsidRDefault="00A70361" w:rsidP="00BB6B0B">
      <w:pPr>
        <w:jc w:val="center"/>
      </w:pPr>
      <w:bookmarkStart w:id="0" w:name="OLE_LINK1"/>
      <w:bookmarkStart w:id="1" w:name="OLE_LINK2"/>
      <w:r>
        <w:pict w14:anchorId="2F8338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42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6910E1" w:rsidRPr="00CD2F45" w:rsidRDefault="006910E1" w:rsidP="00B65AF2">
      <w:pPr>
        <w:pStyle w:val="Nzev"/>
      </w:pPr>
      <w:r w:rsidRPr="00CD2F45">
        <w:t>Metodická příručka</w:t>
      </w:r>
    </w:p>
    <w:p w:rsidR="006910E1" w:rsidRPr="00CD2F45" w:rsidRDefault="009D5D05" w:rsidP="00161BFA">
      <w:pPr>
        <w:pStyle w:val="Nzev"/>
      </w:pPr>
      <w:r>
        <w:t>Omezování tranzitní nákladní dopravy</w:t>
      </w:r>
    </w:p>
    <w:p w:rsidR="007F797E" w:rsidRPr="00CD2F45" w:rsidRDefault="00A70361" w:rsidP="007F797E">
      <w:pPr>
        <w:jc w:val="center"/>
      </w:pPr>
      <w:r>
        <w:pict>
          <v:shape id="_x0000_i1026" type="#_x0000_t75" style="width:153.75pt;height:195.75pt">
            <v:imagedata r:id="rId9" o:title="B4+E14-tranzit"/>
          </v:shape>
        </w:pict>
      </w:r>
    </w:p>
    <w:tbl>
      <w:tblPr>
        <w:tblpPr w:leftFromText="142" w:rightFromText="142" w:horzAnchor="margin" w:tblpYSpec="bottom"/>
        <w:tblOverlap w:val="never"/>
        <w:tblW w:w="5000" w:type="pct"/>
        <w:tblLook w:val="01E0" w:firstRow="1" w:lastRow="1" w:firstColumn="1" w:lastColumn="1" w:noHBand="0" w:noVBand="0"/>
      </w:tblPr>
      <w:tblGrid>
        <w:gridCol w:w="9288"/>
      </w:tblGrid>
      <w:tr w:rsidR="007F797E" w:rsidRPr="00CD2F45" w:rsidTr="00F63998">
        <w:tc>
          <w:tcPr>
            <w:tcW w:w="5000" w:type="pct"/>
          </w:tcPr>
          <w:p w:rsidR="007F797E" w:rsidRPr="00CD2F45" w:rsidRDefault="00F63998" w:rsidP="00F63998">
            <w:pPr>
              <w:pStyle w:val="Nzev"/>
              <w:rPr>
                <w:rStyle w:val="Nzevknihy"/>
              </w:rPr>
            </w:pPr>
            <w:r>
              <w:rPr>
                <w:rStyle w:val="Nzevknihy"/>
              </w:rPr>
              <w:t xml:space="preserve"> </w:t>
            </w:r>
          </w:p>
          <w:p w:rsidR="007F797E" w:rsidRPr="00CD2F45" w:rsidRDefault="007F797E" w:rsidP="00F63998">
            <w:pPr>
              <w:jc w:val="center"/>
              <w:rPr>
                <w:i/>
                <w:sz w:val="20"/>
                <w:szCs w:val="20"/>
              </w:rPr>
            </w:pPr>
            <w:r w:rsidRPr="00CD2F45">
              <w:rPr>
                <w:i/>
                <w:sz w:val="20"/>
                <w:szCs w:val="20"/>
              </w:rPr>
              <w:t xml:space="preserve">K právnímu stavu ke dni </w:t>
            </w:r>
            <w:r w:rsidR="00F63998">
              <w:rPr>
                <w:i/>
                <w:sz w:val="20"/>
                <w:szCs w:val="20"/>
              </w:rPr>
              <w:t>1. ledna 2016</w:t>
            </w:r>
          </w:p>
        </w:tc>
      </w:tr>
    </w:tbl>
    <w:p w:rsidR="006910E1" w:rsidRPr="00CD2F45" w:rsidRDefault="006910E1" w:rsidP="007F797E"/>
    <w:p w:rsidR="007F797E" w:rsidRPr="00CD2F45" w:rsidRDefault="007F797E" w:rsidP="00090EE7">
      <w:pPr>
        <w:jc w:val="center"/>
        <w:sectPr w:rsidR="007F797E" w:rsidRPr="00CD2F45" w:rsidSect="007F797E">
          <w:footerReference w:type="default" r:id="rId10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6910E1" w:rsidRPr="00CD2F45" w:rsidRDefault="006910E1" w:rsidP="003F059B">
      <w:pPr>
        <w:pStyle w:val="MDSR"/>
        <w:rPr>
          <w:b/>
        </w:rPr>
      </w:pPr>
      <w:bookmarkStart w:id="2" w:name="_Toc378583876"/>
      <w:r w:rsidRPr="00CD2F45">
        <w:rPr>
          <w:b/>
        </w:rPr>
        <w:lastRenderedPageBreak/>
        <w:t>Obsah</w:t>
      </w:r>
      <w:bookmarkEnd w:id="2"/>
    </w:p>
    <w:p w:rsidR="00257C31" w:rsidRDefault="006910E1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r w:rsidRPr="00CD2F45">
        <w:rPr>
          <w:b/>
        </w:rPr>
        <w:fldChar w:fldCharType="begin"/>
      </w:r>
      <w:r w:rsidRPr="00CD2F45">
        <w:rPr>
          <w:b/>
        </w:rPr>
        <w:instrText xml:space="preserve"> TOC \o "1-3" \h \z \u </w:instrText>
      </w:r>
      <w:r w:rsidRPr="00CD2F45">
        <w:rPr>
          <w:b/>
        </w:rPr>
        <w:fldChar w:fldCharType="separate"/>
      </w:r>
      <w:hyperlink w:anchor="_Toc443481106" w:history="1">
        <w:r w:rsidR="00257C31" w:rsidRPr="00565D9C">
          <w:rPr>
            <w:rStyle w:val="Hypertextovodkaz"/>
            <w:noProof/>
          </w:rPr>
          <w:t>1</w:t>
        </w:r>
        <w:r w:rsidR="00257C31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57C31" w:rsidRPr="00565D9C">
          <w:rPr>
            <w:rStyle w:val="Hypertextovodkaz"/>
            <w:noProof/>
          </w:rPr>
          <w:t>Na úvod</w:t>
        </w:r>
        <w:r w:rsidR="00257C31">
          <w:rPr>
            <w:noProof/>
            <w:webHidden/>
          </w:rPr>
          <w:tab/>
        </w:r>
        <w:r w:rsidR="00257C31">
          <w:rPr>
            <w:noProof/>
            <w:webHidden/>
          </w:rPr>
          <w:fldChar w:fldCharType="begin"/>
        </w:r>
        <w:r w:rsidR="00257C31">
          <w:rPr>
            <w:noProof/>
            <w:webHidden/>
          </w:rPr>
          <w:instrText xml:space="preserve"> PAGEREF _Toc443481106 \h </w:instrText>
        </w:r>
        <w:r w:rsidR="00257C31">
          <w:rPr>
            <w:noProof/>
            <w:webHidden/>
          </w:rPr>
        </w:r>
        <w:r w:rsidR="00257C31">
          <w:rPr>
            <w:noProof/>
            <w:webHidden/>
          </w:rPr>
          <w:fldChar w:fldCharType="separate"/>
        </w:r>
        <w:r w:rsidR="00E6003C">
          <w:rPr>
            <w:noProof/>
            <w:webHidden/>
          </w:rPr>
          <w:t>2</w:t>
        </w:r>
        <w:r w:rsidR="00257C31">
          <w:rPr>
            <w:noProof/>
            <w:webHidden/>
          </w:rPr>
          <w:fldChar w:fldCharType="end"/>
        </w:r>
      </w:hyperlink>
    </w:p>
    <w:p w:rsidR="00257C31" w:rsidRDefault="00A70361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443481107" w:history="1">
        <w:r w:rsidR="00257C31" w:rsidRPr="00565D9C">
          <w:rPr>
            <w:rStyle w:val="Hypertextovodkaz"/>
            <w:noProof/>
          </w:rPr>
          <w:t>2</w:t>
        </w:r>
        <w:r w:rsidR="00257C31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57C31" w:rsidRPr="00565D9C">
          <w:rPr>
            <w:rStyle w:val="Hypertextovodkaz"/>
            <w:noProof/>
          </w:rPr>
          <w:t>Základní pojmy</w:t>
        </w:r>
        <w:r w:rsidR="00257C31">
          <w:rPr>
            <w:noProof/>
            <w:webHidden/>
          </w:rPr>
          <w:tab/>
        </w:r>
        <w:r w:rsidR="00257C31">
          <w:rPr>
            <w:noProof/>
            <w:webHidden/>
          </w:rPr>
          <w:fldChar w:fldCharType="begin"/>
        </w:r>
        <w:r w:rsidR="00257C31">
          <w:rPr>
            <w:noProof/>
            <w:webHidden/>
          </w:rPr>
          <w:instrText xml:space="preserve"> PAGEREF _Toc443481107 \h </w:instrText>
        </w:r>
        <w:r w:rsidR="00257C31">
          <w:rPr>
            <w:noProof/>
            <w:webHidden/>
          </w:rPr>
        </w:r>
        <w:r w:rsidR="00257C31">
          <w:rPr>
            <w:noProof/>
            <w:webHidden/>
          </w:rPr>
          <w:fldChar w:fldCharType="separate"/>
        </w:r>
        <w:r w:rsidR="00E6003C">
          <w:rPr>
            <w:noProof/>
            <w:webHidden/>
          </w:rPr>
          <w:t>3</w:t>
        </w:r>
        <w:r w:rsidR="00257C31">
          <w:rPr>
            <w:noProof/>
            <w:webHidden/>
          </w:rPr>
          <w:fldChar w:fldCharType="end"/>
        </w:r>
      </w:hyperlink>
    </w:p>
    <w:p w:rsidR="00257C31" w:rsidRDefault="00A70361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443481108" w:history="1">
        <w:r w:rsidR="00257C31" w:rsidRPr="00565D9C">
          <w:rPr>
            <w:rStyle w:val="Hypertextovodkaz"/>
            <w:noProof/>
          </w:rPr>
          <w:t>3</w:t>
        </w:r>
        <w:r w:rsidR="00257C31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57C31" w:rsidRPr="00565D9C">
          <w:rPr>
            <w:rStyle w:val="Hypertextovodkaz"/>
            <w:noProof/>
          </w:rPr>
          <w:t>Obecně k omezování tranzitní nákladní dopravy</w:t>
        </w:r>
        <w:r w:rsidR="00257C31">
          <w:rPr>
            <w:noProof/>
            <w:webHidden/>
          </w:rPr>
          <w:tab/>
        </w:r>
        <w:r w:rsidR="00257C31">
          <w:rPr>
            <w:noProof/>
            <w:webHidden/>
          </w:rPr>
          <w:fldChar w:fldCharType="begin"/>
        </w:r>
        <w:r w:rsidR="00257C31">
          <w:rPr>
            <w:noProof/>
            <w:webHidden/>
          </w:rPr>
          <w:instrText xml:space="preserve"> PAGEREF _Toc443481108 \h </w:instrText>
        </w:r>
        <w:r w:rsidR="00257C31">
          <w:rPr>
            <w:noProof/>
            <w:webHidden/>
          </w:rPr>
        </w:r>
        <w:r w:rsidR="00257C31">
          <w:rPr>
            <w:noProof/>
            <w:webHidden/>
          </w:rPr>
          <w:fldChar w:fldCharType="separate"/>
        </w:r>
        <w:r w:rsidR="00E6003C">
          <w:rPr>
            <w:noProof/>
            <w:webHidden/>
          </w:rPr>
          <w:t>4</w:t>
        </w:r>
        <w:r w:rsidR="00257C31">
          <w:rPr>
            <w:noProof/>
            <w:webHidden/>
          </w:rPr>
          <w:fldChar w:fldCharType="end"/>
        </w:r>
      </w:hyperlink>
    </w:p>
    <w:p w:rsidR="00257C31" w:rsidRDefault="00A70361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443481109" w:history="1">
        <w:r w:rsidR="00257C31" w:rsidRPr="00565D9C">
          <w:rPr>
            <w:rStyle w:val="Hypertextovodkaz"/>
            <w:noProof/>
          </w:rPr>
          <w:t>4</w:t>
        </w:r>
        <w:r w:rsidR="00257C31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57C31" w:rsidRPr="00565D9C">
          <w:rPr>
            <w:rStyle w:val="Hypertextovodkaz"/>
            <w:noProof/>
          </w:rPr>
          <w:t>Provedení příslušného dopravního značení</w:t>
        </w:r>
        <w:r w:rsidR="00257C31">
          <w:rPr>
            <w:noProof/>
            <w:webHidden/>
          </w:rPr>
          <w:tab/>
        </w:r>
        <w:r w:rsidR="00257C31">
          <w:rPr>
            <w:noProof/>
            <w:webHidden/>
          </w:rPr>
          <w:fldChar w:fldCharType="begin"/>
        </w:r>
        <w:r w:rsidR="00257C31">
          <w:rPr>
            <w:noProof/>
            <w:webHidden/>
          </w:rPr>
          <w:instrText xml:space="preserve"> PAGEREF _Toc443481109 \h </w:instrText>
        </w:r>
        <w:r w:rsidR="00257C31">
          <w:rPr>
            <w:noProof/>
            <w:webHidden/>
          </w:rPr>
        </w:r>
        <w:r w:rsidR="00257C31">
          <w:rPr>
            <w:noProof/>
            <w:webHidden/>
          </w:rPr>
          <w:fldChar w:fldCharType="separate"/>
        </w:r>
        <w:r w:rsidR="00E6003C">
          <w:rPr>
            <w:noProof/>
            <w:webHidden/>
          </w:rPr>
          <w:t>5</w:t>
        </w:r>
        <w:r w:rsidR="00257C31">
          <w:rPr>
            <w:noProof/>
            <w:webHidden/>
          </w:rPr>
          <w:fldChar w:fldCharType="end"/>
        </w:r>
      </w:hyperlink>
    </w:p>
    <w:p w:rsidR="00257C31" w:rsidRDefault="00A70361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443481110" w:history="1">
        <w:r w:rsidR="00257C31" w:rsidRPr="00565D9C">
          <w:rPr>
            <w:rStyle w:val="Hypertextovodkaz"/>
            <w:noProof/>
          </w:rPr>
          <w:t>5</w:t>
        </w:r>
        <w:r w:rsidR="00257C31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57C31" w:rsidRPr="00565D9C">
          <w:rPr>
            <w:rStyle w:val="Hypertextovodkaz"/>
            <w:noProof/>
          </w:rPr>
          <w:t>Postup správního orgánu při omezování tranzitní nákladní dopravy</w:t>
        </w:r>
        <w:r w:rsidR="00257C31">
          <w:rPr>
            <w:noProof/>
            <w:webHidden/>
          </w:rPr>
          <w:tab/>
        </w:r>
        <w:r w:rsidR="00257C31">
          <w:rPr>
            <w:noProof/>
            <w:webHidden/>
          </w:rPr>
          <w:fldChar w:fldCharType="begin"/>
        </w:r>
        <w:r w:rsidR="00257C31">
          <w:rPr>
            <w:noProof/>
            <w:webHidden/>
          </w:rPr>
          <w:instrText xml:space="preserve"> PAGEREF _Toc443481110 \h </w:instrText>
        </w:r>
        <w:r w:rsidR="00257C31">
          <w:rPr>
            <w:noProof/>
            <w:webHidden/>
          </w:rPr>
        </w:r>
        <w:r w:rsidR="00257C31">
          <w:rPr>
            <w:noProof/>
            <w:webHidden/>
          </w:rPr>
          <w:fldChar w:fldCharType="separate"/>
        </w:r>
        <w:r w:rsidR="00E6003C">
          <w:rPr>
            <w:noProof/>
            <w:webHidden/>
          </w:rPr>
          <w:t>6</w:t>
        </w:r>
        <w:r w:rsidR="00257C31">
          <w:rPr>
            <w:noProof/>
            <w:webHidden/>
          </w:rPr>
          <w:fldChar w:fldCharType="end"/>
        </w:r>
      </w:hyperlink>
    </w:p>
    <w:p w:rsidR="00257C31" w:rsidRDefault="00A70361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43481111" w:history="1">
        <w:r w:rsidR="00257C31" w:rsidRPr="00565D9C">
          <w:rPr>
            <w:rStyle w:val="Hypertextovodkaz"/>
            <w:noProof/>
          </w:rPr>
          <w:t>5.1</w:t>
        </w:r>
        <w:r w:rsidR="00257C31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57C31" w:rsidRPr="00565D9C">
          <w:rPr>
            <w:rStyle w:val="Hypertextovodkaz"/>
            <w:noProof/>
          </w:rPr>
          <w:t>Řízení o návrhu</w:t>
        </w:r>
        <w:r w:rsidR="00257C31">
          <w:rPr>
            <w:noProof/>
            <w:webHidden/>
          </w:rPr>
          <w:tab/>
        </w:r>
        <w:r w:rsidR="00257C31">
          <w:rPr>
            <w:noProof/>
            <w:webHidden/>
          </w:rPr>
          <w:fldChar w:fldCharType="begin"/>
        </w:r>
        <w:r w:rsidR="00257C31">
          <w:rPr>
            <w:noProof/>
            <w:webHidden/>
          </w:rPr>
          <w:instrText xml:space="preserve"> PAGEREF _Toc443481111 \h </w:instrText>
        </w:r>
        <w:r w:rsidR="00257C31">
          <w:rPr>
            <w:noProof/>
            <w:webHidden/>
          </w:rPr>
        </w:r>
        <w:r w:rsidR="00257C31">
          <w:rPr>
            <w:noProof/>
            <w:webHidden/>
          </w:rPr>
          <w:fldChar w:fldCharType="separate"/>
        </w:r>
        <w:r w:rsidR="00E6003C">
          <w:rPr>
            <w:noProof/>
            <w:webHidden/>
          </w:rPr>
          <w:t>6</w:t>
        </w:r>
        <w:r w:rsidR="00257C31">
          <w:rPr>
            <w:noProof/>
            <w:webHidden/>
          </w:rPr>
          <w:fldChar w:fldCharType="end"/>
        </w:r>
      </w:hyperlink>
    </w:p>
    <w:p w:rsidR="00257C31" w:rsidRDefault="00A70361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43481112" w:history="1">
        <w:r w:rsidR="00257C31" w:rsidRPr="00565D9C">
          <w:rPr>
            <w:rStyle w:val="Hypertextovodkaz"/>
            <w:noProof/>
          </w:rPr>
          <w:t>5.2</w:t>
        </w:r>
        <w:r w:rsidR="00257C31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57C31" w:rsidRPr="00565D9C">
          <w:rPr>
            <w:rStyle w:val="Hypertextovodkaz"/>
            <w:noProof/>
          </w:rPr>
          <w:t>Vydání opatření obecné povahy</w:t>
        </w:r>
        <w:r w:rsidR="00257C31">
          <w:rPr>
            <w:noProof/>
            <w:webHidden/>
          </w:rPr>
          <w:tab/>
        </w:r>
        <w:r w:rsidR="00257C31">
          <w:rPr>
            <w:noProof/>
            <w:webHidden/>
          </w:rPr>
          <w:fldChar w:fldCharType="begin"/>
        </w:r>
        <w:r w:rsidR="00257C31">
          <w:rPr>
            <w:noProof/>
            <w:webHidden/>
          </w:rPr>
          <w:instrText xml:space="preserve"> PAGEREF _Toc443481112 \h </w:instrText>
        </w:r>
        <w:r w:rsidR="00257C31">
          <w:rPr>
            <w:noProof/>
            <w:webHidden/>
          </w:rPr>
        </w:r>
        <w:r w:rsidR="00257C31">
          <w:rPr>
            <w:noProof/>
            <w:webHidden/>
          </w:rPr>
          <w:fldChar w:fldCharType="separate"/>
        </w:r>
        <w:r w:rsidR="00E6003C">
          <w:rPr>
            <w:noProof/>
            <w:webHidden/>
          </w:rPr>
          <w:t>7</w:t>
        </w:r>
        <w:r w:rsidR="00257C31">
          <w:rPr>
            <w:noProof/>
            <w:webHidden/>
          </w:rPr>
          <w:fldChar w:fldCharType="end"/>
        </w:r>
      </w:hyperlink>
    </w:p>
    <w:p w:rsidR="006910E1" w:rsidRPr="00CD2F45" w:rsidRDefault="006910E1" w:rsidP="003F059B">
      <w:pPr>
        <w:sectPr w:rsidR="006910E1" w:rsidRPr="00CD2F45" w:rsidSect="00C05C5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D2F45">
        <w:rPr>
          <w:b/>
        </w:rPr>
        <w:fldChar w:fldCharType="end"/>
      </w:r>
    </w:p>
    <w:p w:rsidR="006910E1" w:rsidRPr="00CD2F45" w:rsidRDefault="006910E1" w:rsidP="00F07E5D">
      <w:pPr>
        <w:pStyle w:val="Nadpis1"/>
      </w:pPr>
      <w:bookmarkStart w:id="3" w:name="_Toc443481106"/>
      <w:r w:rsidRPr="00CD2F45">
        <w:lastRenderedPageBreak/>
        <w:t>Na úvod</w:t>
      </w:r>
      <w:bookmarkEnd w:id="3"/>
    </w:p>
    <w:p w:rsidR="009D5D05" w:rsidRDefault="009D5D05" w:rsidP="00F877B3">
      <w:pPr>
        <w:pStyle w:val="Blok1"/>
      </w:pPr>
      <w:r w:rsidRPr="00CD2F45">
        <w:t xml:space="preserve">Dne 31. 12. 2015 </w:t>
      </w:r>
      <w:r w:rsidR="003E28A1">
        <w:t>nabyl</w:t>
      </w:r>
      <w:r w:rsidRPr="00CD2F45">
        <w:t xml:space="preserve"> účinnost</w:t>
      </w:r>
      <w:r w:rsidR="003E28A1">
        <w:t>i</w:t>
      </w:r>
      <w:r w:rsidRPr="00CD2F45">
        <w:t xml:space="preserve"> zákon č. 268/2015 Sb., kterým se mění zákon č. 13/1997 Sb., o pozemních komunikacích, ve znění pozdějších předpisů, zákon č. 361/2000 Sb., o provozu na pozemních komunikacích a o změnách některých zákonů (zákon o silničním provozu), ve znění pozdějších předpisů, a další související zákony. </w:t>
      </w:r>
      <w:r>
        <w:t xml:space="preserve">Tato novela vnesla do zákona o pozemních komunikacích nový § 24a, který zavádí pravidla pro omezování tranzitní nákladní dopravy na silnicích II. a III. třídy. </w:t>
      </w:r>
      <w:r w:rsidR="003E28A1">
        <w:t>Následující</w:t>
      </w:r>
      <w:r>
        <w:t xml:space="preserve"> pří</w:t>
      </w:r>
      <w:r w:rsidR="00F63998">
        <w:t>ručka poskytuje ucelený návod pro aplikaci tohoto ustanovení v praxi.</w:t>
      </w:r>
    </w:p>
    <w:p w:rsidR="006910E1" w:rsidRPr="00CD2F45" w:rsidRDefault="006910E1" w:rsidP="003F059B">
      <w:pPr>
        <w:pStyle w:val="Bezmezer"/>
      </w:pPr>
    </w:p>
    <w:p w:rsidR="006910E1" w:rsidRPr="00CD2F45" w:rsidRDefault="006910E1" w:rsidP="003F059B">
      <w:pPr>
        <w:pStyle w:val="Bezmezer"/>
        <w:spacing w:before="0" w:after="0"/>
        <w:ind w:firstLine="0"/>
        <w:rPr>
          <w:b/>
        </w:rPr>
      </w:pPr>
    </w:p>
    <w:p w:rsidR="006910E1" w:rsidRPr="00CD2F45" w:rsidRDefault="009139AE" w:rsidP="003F059B">
      <w:pPr>
        <w:pStyle w:val="Bezmezer"/>
        <w:spacing w:before="0" w:after="0"/>
        <w:ind w:firstLine="0"/>
        <w:rPr>
          <w:b/>
        </w:rPr>
      </w:pPr>
      <w:r w:rsidRPr="00CD2F45">
        <w:rPr>
          <w:b/>
        </w:rPr>
        <w:t>Mgr. Ján Skovajsa</w:t>
      </w:r>
    </w:p>
    <w:p w:rsidR="006910E1" w:rsidRPr="00CD2F45" w:rsidRDefault="009139AE" w:rsidP="003F059B">
      <w:pPr>
        <w:pStyle w:val="Bezmezer"/>
        <w:spacing w:before="0" w:after="0"/>
        <w:ind w:firstLine="0"/>
      </w:pPr>
      <w:r w:rsidRPr="00CD2F45">
        <w:t xml:space="preserve">zástupce </w:t>
      </w:r>
      <w:r w:rsidR="006910E1" w:rsidRPr="00CD2F45">
        <w:t>ředitel</w:t>
      </w:r>
      <w:r w:rsidRPr="00CD2F45">
        <w:t>e</w:t>
      </w:r>
      <w:r w:rsidR="006910E1" w:rsidRPr="00CD2F45">
        <w:t xml:space="preserve"> odboru pozemních komunikací </w:t>
      </w:r>
    </w:p>
    <w:p w:rsidR="006910E1" w:rsidRPr="00CD2F45" w:rsidRDefault="006910E1" w:rsidP="003F059B">
      <w:pPr>
        <w:pStyle w:val="Bezmezer"/>
        <w:spacing w:before="0" w:after="0"/>
        <w:ind w:firstLine="0"/>
      </w:pPr>
      <w:r w:rsidRPr="00CD2F45">
        <w:t>Ministerstvo dopravy ČR</w:t>
      </w:r>
    </w:p>
    <w:p w:rsidR="006910E1" w:rsidRPr="00CD2F45" w:rsidRDefault="006910E1" w:rsidP="00160190">
      <w:pPr>
        <w:pStyle w:val="Nadpis1"/>
      </w:pPr>
      <w:r w:rsidRPr="00CD2F45">
        <w:br w:type="page"/>
      </w:r>
      <w:bookmarkStart w:id="4" w:name="_Toc443481107"/>
      <w:r w:rsidRPr="00CD2F45">
        <w:lastRenderedPageBreak/>
        <w:t>Základní pojmy</w:t>
      </w:r>
      <w:bookmarkEnd w:id="4"/>
    </w:p>
    <w:p w:rsidR="003E28A1" w:rsidRDefault="003E28A1" w:rsidP="003E28A1">
      <w:pPr>
        <w:pStyle w:val="Blok1"/>
        <w:numPr>
          <w:ilvl w:val="0"/>
          <w:numId w:val="2"/>
        </w:numPr>
        <w:ind w:left="426" w:hanging="284"/>
      </w:pPr>
      <w:r>
        <w:t>Zákon o pozemních komunikacích</w:t>
      </w:r>
    </w:p>
    <w:p w:rsidR="00EB5811" w:rsidRPr="00F9698C" w:rsidRDefault="003E28A1" w:rsidP="00EB5811">
      <w:pPr>
        <w:pStyle w:val="Blok2"/>
        <w:numPr>
          <w:ilvl w:val="1"/>
          <w:numId w:val="2"/>
        </w:numPr>
      </w:pPr>
      <w:r>
        <w:t xml:space="preserve">Zákon č. 13/1997 Sb., o pozemních komunikacích </w:t>
      </w:r>
    </w:p>
    <w:p w:rsidR="00EB5811" w:rsidRDefault="00EB5811" w:rsidP="00EB5811">
      <w:pPr>
        <w:pStyle w:val="Blok1"/>
        <w:numPr>
          <w:ilvl w:val="0"/>
          <w:numId w:val="2"/>
        </w:numPr>
        <w:ind w:left="426" w:hanging="284"/>
      </w:pPr>
      <w:r>
        <w:t>Zákon o silničním provozu</w:t>
      </w:r>
    </w:p>
    <w:p w:rsidR="00EB5811" w:rsidRPr="00F9698C" w:rsidRDefault="00EB5811" w:rsidP="00EB5811">
      <w:pPr>
        <w:pStyle w:val="Blok2"/>
        <w:numPr>
          <w:ilvl w:val="1"/>
          <w:numId w:val="2"/>
        </w:numPr>
      </w:pPr>
      <w:r>
        <w:t>Zákon č. 361/2000 Sb., o provozu na pozemních komunikacích a o změnách některých zákonů</w:t>
      </w:r>
      <w:r w:rsidRPr="00EB5811">
        <w:t xml:space="preserve"> </w:t>
      </w:r>
    </w:p>
    <w:p w:rsidR="00EB5811" w:rsidRDefault="00EB5811" w:rsidP="00EB5811">
      <w:pPr>
        <w:pStyle w:val="Blok1"/>
        <w:numPr>
          <w:ilvl w:val="0"/>
          <w:numId w:val="2"/>
        </w:numPr>
        <w:ind w:left="426" w:hanging="284"/>
      </w:pPr>
      <w:r>
        <w:t>Správní řád</w:t>
      </w:r>
    </w:p>
    <w:p w:rsidR="003E28A1" w:rsidRPr="00F9698C" w:rsidRDefault="00EB5811" w:rsidP="00EB5811">
      <w:pPr>
        <w:pStyle w:val="Blok2"/>
        <w:numPr>
          <w:ilvl w:val="1"/>
          <w:numId w:val="2"/>
        </w:numPr>
      </w:pPr>
      <w:r>
        <w:t>Zákon č. 500/2004 Sb., správní řád</w:t>
      </w:r>
    </w:p>
    <w:p w:rsidR="005F4806" w:rsidRPr="00CD2F45" w:rsidRDefault="00F63998" w:rsidP="005F4806">
      <w:pPr>
        <w:pStyle w:val="Blok1"/>
        <w:numPr>
          <w:ilvl w:val="0"/>
          <w:numId w:val="2"/>
        </w:numPr>
        <w:ind w:left="426" w:hanging="284"/>
      </w:pPr>
      <w:r>
        <w:t>Tranzitní nákladní doprava</w:t>
      </w:r>
    </w:p>
    <w:p w:rsidR="00063F08" w:rsidRPr="00F9698C" w:rsidRDefault="00CA74FC" w:rsidP="00F9698C">
      <w:pPr>
        <w:pStyle w:val="Blok2"/>
        <w:numPr>
          <w:ilvl w:val="1"/>
          <w:numId w:val="2"/>
        </w:numPr>
      </w:pPr>
      <w:r>
        <w:t>Podle § 24a zákona o pozemních komunikacích d</w:t>
      </w:r>
      <w:r w:rsidR="00063F08">
        <w:t xml:space="preserve">oprava </w:t>
      </w:r>
      <w:r w:rsidR="00F63998">
        <w:t>prováděn</w:t>
      </w:r>
      <w:r w:rsidR="00063F08">
        <w:t>á</w:t>
      </w:r>
      <w:r w:rsidR="00F63998">
        <w:t xml:space="preserve"> nákladním vozidlem nebo jízdní soupravou, jejichž největší povol</w:t>
      </w:r>
      <w:r>
        <w:t>ená hmotnost činí 12 tun a více</w:t>
      </w:r>
    </w:p>
    <w:p w:rsidR="00063F08" w:rsidRPr="00F9698C" w:rsidRDefault="00063F08" w:rsidP="00F9698C">
      <w:pPr>
        <w:pStyle w:val="Blok2"/>
        <w:numPr>
          <w:ilvl w:val="1"/>
          <w:numId w:val="2"/>
        </w:numPr>
      </w:pPr>
      <w:r>
        <w:t>Za tranzitní nákladní dopravu se nepovažuje užití pozemní komunikace</w:t>
      </w:r>
    </w:p>
    <w:p w:rsidR="00063F08" w:rsidRPr="00F9698C" w:rsidRDefault="00063F08" w:rsidP="00F9698C">
      <w:pPr>
        <w:pStyle w:val="Blok2"/>
        <w:numPr>
          <w:ilvl w:val="2"/>
          <w:numId w:val="2"/>
        </w:numPr>
      </w:pPr>
      <w:r>
        <w:t>nezbytné pro dosažení místa nakládky, vykládky, údržby nebo opravy vozidla, sídla, provozovny nebo bydliště dopravce nebo bydliště řidiče,</w:t>
      </w:r>
    </w:p>
    <w:p w:rsidR="00063F08" w:rsidRPr="00F9698C" w:rsidRDefault="00063F08" w:rsidP="00F9698C">
      <w:pPr>
        <w:pStyle w:val="Blok2"/>
        <w:numPr>
          <w:ilvl w:val="2"/>
          <w:numId w:val="2"/>
        </w:numPr>
      </w:pPr>
      <w:r>
        <w:t>složkami integrovaného záchranného systému,</w:t>
      </w:r>
    </w:p>
    <w:p w:rsidR="00063F08" w:rsidRPr="00F9698C" w:rsidRDefault="00063F08" w:rsidP="00F9698C">
      <w:pPr>
        <w:pStyle w:val="Blok2"/>
        <w:numPr>
          <w:ilvl w:val="2"/>
          <w:numId w:val="2"/>
        </w:numPr>
      </w:pPr>
      <w:r>
        <w:t>nezbytné pro plnění úkolů ozbrojených sil.</w:t>
      </w:r>
    </w:p>
    <w:p w:rsidR="005F4806" w:rsidRPr="00F9698C" w:rsidRDefault="00063F08" w:rsidP="00F9698C">
      <w:pPr>
        <w:pStyle w:val="Blok2"/>
        <w:numPr>
          <w:ilvl w:val="1"/>
          <w:numId w:val="2"/>
        </w:numPr>
      </w:pPr>
      <w:r>
        <w:t xml:space="preserve">Tranzitní nákladní dopravu </w:t>
      </w:r>
      <w:r w:rsidR="00F63998">
        <w:t>lze na silnici II. a III. třídy zakázat nebo omezit stanovením místní úpravy provozu na pozemních komunikacích, jen je-li možné využít jinou vhodnou trasu včetně trasy vedoucí po pozemní komu</w:t>
      </w:r>
      <w:r w:rsidR="00CA74FC">
        <w:t>nikaci podléhající zpoplatnění</w:t>
      </w:r>
      <w:r w:rsidR="00895ECF">
        <w:t>.</w:t>
      </w:r>
    </w:p>
    <w:p w:rsidR="00CA74FC" w:rsidRDefault="00CA74FC" w:rsidP="00CA74FC">
      <w:pPr>
        <w:pStyle w:val="Blok1"/>
        <w:numPr>
          <w:ilvl w:val="0"/>
          <w:numId w:val="2"/>
        </w:numPr>
        <w:ind w:left="426" w:hanging="284"/>
      </w:pPr>
      <w:r>
        <w:t>Místní úprava provozu a pozemních komunikacích</w:t>
      </w:r>
    </w:p>
    <w:p w:rsidR="00895ECF" w:rsidRPr="00CA74FC" w:rsidRDefault="00895ECF" w:rsidP="00895ECF">
      <w:pPr>
        <w:pStyle w:val="MDSR"/>
        <w:numPr>
          <w:ilvl w:val="1"/>
          <w:numId w:val="2"/>
        </w:numPr>
      </w:pPr>
      <w:r>
        <w:t>Podle § 61 odst. 2 zákona o silničním provozu ú</w:t>
      </w:r>
      <w:r w:rsidR="00CA74FC" w:rsidRPr="00CA74FC">
        <w:t>prava provozu na pozemních komunikacích provedená dopravními značkami, světelnými, případně i doprovodnými akustickými sig</w:t>
      </w:r>
      <w:r w:rsidR="00CA74FC">
        <w:t>nály nebo dopravními zařízeními</w:t>
      </w:r>
    </w:p>
    <w:p w:rsidR="00895ECF" w:rsidRPr="00CD2F45" w:rsidRDefault="00895ECF" w:rsidP="00895ECF">
      <w:pPr>
        <w:pStyle w:val="Blok1"/>
        <w:numPr>
          <w:ilvl w:val="0"/>
          <w:numId w:val="2"/>
        </w:numPr>
        <w:ind w:left="426" w:hanging="284"/>
      </w:pPr>
      <w:r>
        <w:t>Stanovení místní úpravy provozu na pozemních komunikacích</w:t>
      </w:r>
    </w:p>
    <w:p w:rsidR="00895ECF" w:rsidRPr="00CA74FC" w:rsidRDefault="00895ECF" w:rsidP="00895ECF">
      <w:pPr>
        <w:pStyle w:val="MDSR"/>
        <w:numPr>
          <w:ilvl w:val="1"/>
          <w:numId w:val="2"/>
        </w:numPr>
      </w:pPr>
      <w:r>
        <w:t>Postup definovaný v § 77 zákona o silničním provozu, při němž příslušný správní orgán postupuje ve vybraných případech podle části šesté správního řádu, která určuje postup při vydávání opatření obecné povahy</w:t>
      </w:r>
    </w:p>
    <w:p w:rsidR="00895ECF" w:rsidRPr="00CD2F45" w:rsidRDefault="00895ECF" w:rsidP="00895ECF">
      <w:pPr>
        <w:pStyle w:val="Blok1"/>
        <w:numPr>
          <w:ilvl w:val="0"/>
          <w:numId w:val="2"/>
        </w:numPr>
        <w:ind w:left="426" w:hanging="284"/>
      </w:pPr>
      <w:r>
        <w:t>Příslušný správní orgán</w:t>
      </w:r>
    </w:p>
    <w:p w:rsidR="005F4806" w:rsidRPr="00CD2F45" w:rsidRDefault="00895ECF" w:rsidP="00895ECF">
      <w:pPr>
        <w:pStyle w:val="MDSR"/>
        <w:numPr>
          <w:ilvl w:val="1"/>
          <w:numId w:val="2"/>
        </w:numPr>
      </w:pPr>
      <w:r>
        <w:t>Správní orgán definovaný § 77 odst. 1 a § 124 zákona o silničním provozu, kterým je v případě silnic II. a III. třídy místně příslušný obecní obce s rozšířenou působností</w:t>
      </w:r>
      <w:bookmarkStart w:id="5" w:name="_GoBack"/>
      <w:bookmarkEnd w:id="5"/>
    </w:p>
    <w:p w:rsidR="00895ECF" w:rsidRDefault="00B8023E" w:rsidP="00BD404B">
      <w:pPr>
        <w:pStyle w:val="Nadpis1"/>
      </w:pPr>
      <w:r w:rsidRPr="00CD2F45">
        <w:br w:type="page"/>
      </w:r>
      <w:bookmarkStart w:id="6" w:name="_Toc443481108"/>
      <w:r w:rsidR="00895ECF">
        <w:lastRenderedPageBreak/>
        <w:t>Obecně k omezování tranzitní nákladní dopravy</w:t>
      </w:r>
      <w:bookmarkEnd w:id="6"/>
    </w:p>
    <w:p w:rsidR="00895ECF" w:rsidRDefault="00F9698C" w:rsidP="008872E4">
      <w:pPr>
        <w:pStyle w:val="Blok1"/>
      </w:pPr>
      <w:r>
        <w:t xml:space="preserve">Zákon o pozemních komunikacích </w:t>
      </w:r>
      <w:r w:rsidR="008872E4">
        <w:t>definuje pozemní komunikaci jako dopravní cestu určenou k užití silničními a jinými vozidly</w:t>
      </w:r>
      <w:r w:rsidR="00505E88">
        <w:t xml:space="preserve"> a chodci</w:t>
      </w:r>
      <w:r w:rsidR="008872E4">
        <w:t xml:space="preserve"> </w:t>
      </w:r>
      <w:r w:rsidR="00505E88">
        <w:t>(</w:t>
      </w:r>
      <w:r w:rsidR="008872E4">
        <w:t>včetně pevných zařízení nutných pro zajištění tohoto užití a</w:t>
      </w:r>
      <w:r w:rsidR="00257C31">
        <w:t> </w:t>
      </w:r>
      <w:r w:rsidR="008872E4">
        <w:t>jeho bezpečnosti</w:t>
      </w:r>
      <w:r w:rsidR="00505E88">
        <w:t>)</w:t>
      </w:r>
      <w:r w:rsidR="008872E4">
        <w:t>, přičemž pozemní komunikace rozděluje na 4 kategorie: dálnice, silnice, místní komunikace a účelové komunikace.</w:t>
      </w:r>
    </w:p>
    <w:p w:rsidR="008872E4" w:rsidRDefault="008872E4" w:rsidP="008872E4">
      <w:pPr>
        <w:pStyle w:val="Blok2"/>
      </w:pPr>
      <w:r w:rsidRPr="008872E4">
        <w:t xml:space="preserve">O zařazení pozemní komunikace do </w:t>
      </w:r>
      <w:r>
        <w:t>jedné z kategorií</w:t>
      </w:r>
      <w:r w:rsidRPr="008872E4">
        <w:t xml:space="preserve"> rozhoduje příslušný silniční správní úřad na základě jejího určení, dopravního významu a stavebně technického vybavení</w:t>
      </w:r>
      <w:r>
        <w:t>. Pro dálkovou a</w:t>
      </w:r>
      <w:r w:rsidR="00D778DF">
        <w:t> </w:t>
      </w:r>
      <w:r>
        <w:t>mezistátní dopravu jsou pak zákonem o pozemních komunikacích určeny dálnice a silnice I. třídy, na nichž je omezování tranzitní nákladní dopravy na základě jejich určení vyloučeno.</w:t>
      </w:r>
      <w:r w:rsidR="00BD404B">
        <w:t xml:space="preserve"> Dálnice a silnice I.</w:t>
      </w:r>
      <w:r w:rsidR="00D778DF">
        <w:t> </w:t>
      </w:r>
      <w:r w:rsidR="00BD404B">
        <w:t xml:space="preserve">třídy jsou ve vlastnictví státu a </w:t>
      </w:r>
      <w:r w:rsidR="00D778DF">
        <w:t>na dálnicích a vybraných silnicích I. třídy je také státem vybírána úhrada za užití zpoplatněné pozemní komunikace vozidlem o celkové hmotnosti více než 3,5 tuny.</w:t>
      </w:r>
    </w:p>
    <w:p w:rsidR="00BD404B" w:rsidRDefault="00BD404B" w:rsidP="008872E4">
      <w:pPr>
        <w:pStyle w:val="Blok2"/>
      </w:pPr>
      <w:r>
        <w:t xml:space="preserve">V případě silnic II. třídy zákon stanovuje, že jsou určeny pro dopravu mezi okresy a v případě silnic III. třídy </w:t>
      </w:r>
      <w:r w:rsidRPr="00BD404B">
        <w:t>k vzájemnému spojení obcí nebo jejich napojení na ostatní pozemní komunikace</w:t>
      </w:r>
      <w:r>
        <w:t>.</w:t>
      </w:r>
      <w:r w:rsidR="00D778DF">
        <w:t xml:space="preserve"> Tyto třídy silnic vlastní příslušné kraje a jejich užití není v současnosti pro vozidla o celkové hmotnosti více než 3,5 tuny zpoplatněno.</w:t>
      </w:r>
    </w:p>
    <w:p w:rsidR="00BD404B" w:rsidRDefault="00BD404B" w:rsidP="008872E4">
      <w:pPr>
        <w:pStyle w:val="Blok2"/>
      </w:pPr>
      <w:r>
        <w:t>Z výše uvedeného vyplývá, že je v zájmu státu</w:t>
      </w:r>
      <w:r w:rsidR="00D778DF">
        <w:t>, krajů i obcí,</w:t>
      </w:r>
      <w:r>
        <w:t xml:space="preserve"> </w:t>
      </w:r>
      <w:r w:rsidR="00D778DF">
        <w:t>aby byly pro tranzitní nákladní dopravu přednostně využívány ty kategorie a třídy pozemních komunikací, které jsou k tomuto účelu určeny a na nichž je za jejich užití vybírán příslušný poplatek (tedy dálnice a silnice I. třídy).</w:t>
      </w:r>
    </w:p>
    <w:p w:rsidR="00E55135" w:rsidRDefault="00D778DF" w:rsidP="008872E4">
      <w:pPr>
        <w:pStyle w:val="Blok2"/>
      </w:pPr>
      <w:r>
        <w:t xml:space="preserve">V minulosti docházelo s odkazem na ustanovení § 19 odst. 1 zákona o pozemních komunikacích opakovaně ke zpochybňování možnosti omezovat obecné užívání silnic II. a III. třídy pro tranzitní nákladní dopravu, a to i přes skutečnost, že samo Ministerstvo dopravy připouštělo, aby na základě určení a dopravního významu silnic II. a III. třídy došlo k omezení průjezdu tranzitní nákladní dopravy po těchto silnicích. Z tohoto důvodu byla navržena legislativní úprava, která tuto možnost výslovně připouští a stanovuje pro ni podmínky. </w:t>
      </w:r>
    </w:p>
    <w:p w:rsidR="0089197B" w:rsidRDefault="00E55135" w:rsidP="00E55135">
      <w:pPr>
        <w:pStyle w:val="Blok2"/>
      </w:pPr>
      <w:r>
        <w:t>Legislati</w:t>
      </w:r>
      <w:r w:rsidR="0047653F">
        <w:t>vní úprava byla provedena zákonem</w:t>
      </w:r>
      <w:r>
        <w:t xml:space="preserve"> č. 268/2015 Sb., který mj. vložil do zákona o pozemních komunikacích</w:t>
      </w:r>
      <w:r w:rsidR="00D778DF">
        <w:t xml:space="preserve"> </w:t>
      </w:r>
      <w:r>
        <w:t>nové</w:t>
      </w:r>
      <w:r w:rsidR="00D778DF">
        <w:t xml:space="preserve"> ustanovení § 24a, které nabylo ú</w:t>
      </w:r>
      <w:r w:rsidR="0089197B">
        <w:t>činnosti dne 31. prosince 2015:</w:t>
      </w:r>
      <w:r>
        <w:t xml:space="preserve"> </w:t>
      </w:r>
    </w:p>
    <w:p w:rsidR="0089197B" w:rsidRDefault="00E55135" w:rsidP="00552BA4">
      <w:pPr>
        <w:pStyle w:val="Blok2"/>
        <w:numPr>
          <w:ilvl w:val="0"/>
          <w:numId w:val="2"/>
        </w:numPr>
        <w:ind w:left="426" w:hanging="284"/>
      </w:pPr>
      <w:r>
        <w:t>Na jeho základě lze</w:t>
      </w:r>
      <w:r w:rsidRPr="00E55135">
        <w:t xml:space="preserve"> </w:t>
      </w:r>
      <w:r>
        <w:t>na silnici II. a III. třídy zakázat nebo omezit</w:t>
      </w:r>
      <w:r w:rsidRPr="00E55135">
        <w:t xml:space="preserve"> </w:t>
      </w:r>
      <w:r>
        <w:t xml:space="preserve">tranzitní nákladní dopravu prováděnou nákladním vozidlem nebo jízdní soupravou, jejichž největší povolená hmotnost činí 12 tun a více, a to stanovením místní úpravy provozu na pozemních </w:t>
      </w:r>
      <w:r w:rsidRPr="00E55135">
        <w:t>komunikacích</w:t>
      </w:r>
      <w:r>
        <w:t xml:space="preserve"> podle zvláštního právního předpisu. </w:t>
      </w:r>
    </w:p>
    <w:p w:rsidR="0089197B" w:rsidRDefault="00E55135" w:rsidP="0089197B">
      <w:pPr>
        <w:pStyle w:val="Blok2"/>
        <w:numPr>
          <w:ilvl w:val="0"/>
          <w:numId w:val="2"/>
        </w:numPr>
        <w:ind w:left="426" w:hanging="284"/>
      </w:pPr>
      <w:r>
        <w:t xml:space="preserve">Stanovení lze vydat pouze za podmínky, že je možné využít jinou vhodnou trasu, za takovou trasu se ovšem považuje i trasa vedoucí po pozemní komunikaci podléhající zpoplatnění. </w:t>
      </w:r>
    </w:p>
    <w:p w:rsidR="0089197B" w:rsidRDefault="00E55135" w:rsidP="0089197B">
      <w:pPr>
        <w:pStyle w:val="Blok2"/>
        <w:numPr>
          <w:ilvl w:val="0"/>
          <w:numId w:val="2"/>
        </w:numPr>
        <w:ind w:left="426" w:hanging="284"/>
      </w:pPr>
      <w:r>
        <w:t xml:space="preserve">Za tranzitní nákladní dopravu se nepovažuje užití pozemní komunikace nezbytné pro dosažení místa nakládky, vykládky, údržby nebo opravy vozidla, sídla, provozovny nebo bydliště dopravce nebo bydliště řidiče. </w:t>
      </w:r>
    </w:p>
    <w:p w:rsidR="00E55135" w:rsidRDefault="00E55135" w:rsidP="0089197B">
      <w:pPr>
        <w:pStyle w:val="Blok2"/>
        <w:numPr>
          <w:ilvl w:val="0"/>
          <w:numId w:val="2"/>
        </w:numPr>
        <w:ind w:left="426" w:hanging="284"/>
      </w:pPr>
      <w:r>
        <w:t>Za tranzit se nepovažuje ani užití takto označené silnice složkami integrovaného záchranného systému a její užití nezbytné pro plnění úkolů ozbrojených sil České republiky a ozbrojených sil jiného státu.</w:t>
      </w:r>
    </w:p>
    <w:p w:rsidR="005177A4" w:rsidRPr="005177A4" w:rsidRDefault="005177A4" w:rsidP="005177A4">
      <w:pPr>
        <w:pStyle w:val="Blok2"/>
      </w:pPr>
      <w:r>
        <w:t>Typickými silnicemi, pro něž lze toto opatření užít, jsou silnice II. a III. třídy vedoucí v souběhu s úsekem dálnice nebo silnice I. třídy, jehož užití je zpoplatněno, nebo v jejich blízkosti. Další typem jsou silnice II. a III. třídy, které slouží jako spojka mezi dvěma úseky dálnice nebo silnice I. třídy, a</w:t>
      </w:r>
      <w:r w:rsidR="00257C31">
        <w:t> </w:t>
      </w:r>
      <w:r>
        <w:t>tranzitní nákladní doprava tyto spojky používá buď, aby si tudy zkrátila cestu nebo aby se vyhnula úseku dálnice nebo silnice I. třídy, jehož užití je zpoplatněno.</w:t>
      </w:r>
    </w:p>
    <w:p w:rsidR="0047653F" w:rsidRDefault="0089197B" w:rsidP="00BD404B">
      <w:pPr>
        <w:pStyle w:val="Nadpis1"/>
      </w:pPr>
      <w:r>
        <w:br w:type="page"/>
      </w:r>
      <w:bookmarkStart w:id="7" w:name="_Toc443481109"/>
      <w:r w:rsidR="0047653F">
        <w:t>Provedení příslušného dopravního značení</w:t>
      </w:r>
      <w:bookmarkEnd w:id="7"/>
    </w:p>
    <w:p w:rsidR="0089197B" w:rsidRDefault="0089197B" w:rsidP="00F877B3">
      <w:pPr>
        <w:pStyle w:val="Blok1"/>
      </w:pPr>
      <w:r>
        <w:t xml:space="preserve">Dopravní značení se provádí v souladu s příslušnými ustanoveními zákona o silničním provozu a jeho prováděcí vyhlášky č. 294/2015 Sb. Tato vyhláška zavedla pro tyto účely dvě novinky. </w:t>
      </w:r>
    </w:p>
    <w:p w:rsidR="0089197B" w:rsidRDefault="0089197B" w:rsidP="0089197B">
      <w:pPr>
        <w:pStyle w:val="Blok2"/>
      </w:pPr>
      <w:r>
        <w:t>První novinkou je možnost uvádět celkovou hmotnost nákladního vozidla přímo do dopravní značky B</w:t>
      </w:r>
      <w:r w:rsidR="006F16D9">
        <w:t> </w:t>
      </w:r>
      <w:r>
        <w:t xml:space="preserve">4 „Zákaz vjezdu nákladních vozidel“. </w:t>
      </w:r>
    </w:p>
    <w:p w:rsidR="0047653F" w:rsidRDefault="0089197B" w:rsidP="0089197B">
      <w:pPr>
        <w:pStyle w:val="Blok2"/>
      </w:pPr>
      <w:r>
        <w:t>Druhou novinkou je zavedení zvláštní dodatkové tabulky E</w:t>
      </w:r>
      <w:r w:rsidR="006F16D9">
        <w:t> </w:t>
      </w:r>
      <w:r>
        <w:t xml:space="preserve">14 „Tranzit“, která omezuje platnost dopravní značky pro tranzitní dopravu. V návaznosti na ustanovení § 24a omezuje tato dodatková tabulka </w:t>
      </w:r>
      <w:r w:rsidRPr="0089197B">
        <w:t>platnost značky</w:t>
      </w:r>
      <w:r>
        <w:t>, pod níž je umístěna,</w:t>
      </w:r>
      <w:r w:rsidRPr="0089197B">
        <w:t xml:space="preserve"> na nákladní vozidla, pro něž užití takto označeného úseku není nezbytné pro dosažení místa nakládky, vykládky, údržby nebo opravy vozidla, sídla, provozovny nebo obvyklého bydliště dopravce nebo řidiče.</w:t>
      </w:r>
    </w:p>
    <w:p w:rsidR="0089197B" w:rsidRDefault="0089197B" w:rsidP="0089197B">
      <w:pPr>
        <w:pStyle w:val="Blok2"/>
      </w:pPr>
      <w:r>
        <w:t>Výše uvedená sestava dopravních značek tedy bude v praxi vypadat takto:</w:t>
      </w:r>
    </w:p>
    <w:p w:rsidR="0089197B" w:rsidRDefault="00E6003C" w:rsidP="005177A4">
      <w:pPr>
        <w:jc w:val="center"/>
      </w:pPr>
      <w:r>
        <w:pict>
          <v:shape id="_x0000_i1027" type="#_x0000_t75" style="width:77.25pt;height:97.5pt">
            <v:imagedata r:id="rId9" o:title="B4+E14-tranzit"/>
          </v:shape>
        </w:pict>
      </w:r>
    </w:p>
    <w:p w:rsidR="006F16D9" w:rsidRDefault="006F16D9" w:rsidP="006F16D9">
      <w:pPr>
        <w:pStyle w:val="Blok2"/>
      </w:pPr>
      <w:r>
        <w:t>Tato sestava dopravních značek se umisťuje na začátku úseku silnice II. nebo III. třídy v oblasti, kde je průjezd tranzitní nákladní dopravy zakázán nebo omezen. Pro upozornění na zákaz nacházející se za křižovatkou je možné tuto sestavu použít spolu s dodatkovou tabulkou E7a „Směrová šipka pro směr přímo“ nebo E 7b „Směrová šipka pro odbočení“. Výše uvedenou sestavu je možné také vložit do odpovídajících informativních značek, které vyjadřují způsob řazení do jízdních pruhů před křižovatkou.</w:t>
      </w:r>
    </w:p>
    <w:p w:rsidR="006F16D9" w:rsidRDefault="006F16D9" w:rsidP="006F16D9">
      <w:pPr>
        <w:pStyle w:val="Blok2"/>
      </w:pPr>
      <w:r>
        <w:t>Je-li účelné o nově zřízeném zákazu informovat také řidiče na dálnicích a silnicích v přilehlé oblasti, je možné na časově omezenou dobu (doporučuje se nejvýše 1 rok) použít pro zvýšení informovanosti dopravní značku IP 22</w:t>
      </w:r>
      <w:r w:rsidR="005177A4">
        <w:t xml:space="preserve"> s vyobrazením výše uvedené sestavy značek a s upřesněním silnice či lokality, na níž se takový zákaz či omezení vztahuje, viz následující vzor:</w:t>
      </w:r>
    </w:p>
    <w:p w:rsidR="005177A4" w:rsidRPr="005177A4" w:rsidRDefault="00E6003C" w:rsidP="005177A4">
      <w:pPr>
        <w:jc w:val="center"/>
      </w:pPr>
      <w:r>
        <w:pict>
          <v:shape id="_x0000_i1028" type="#_x0000_t75" style="width:114.75pt;height:173.25pt">
            <v:imagedata r:id="rId11" o:title="IP22-tranzit"/>
          </v:shape>
        </w:pict>
      </w:r>
    </w:p>
    <w:p w:rsidR="006910E1" w:rsidRPr="00CD2F45" w:rsidRDefault="006F16D9" w:rsidP="00BD404B">
      <w:pPr>
        <w:pStyle w:val="Nadpis1"/>
      </w:pPr>
      <w:r>
        <w:br w:type="page"/>
      </w:r>
      <w:bookmarkStart w:id="8" w:name="_Toc443481110"/>
      <w:r w:rsidR="00895ECF">
        <w:t>Postup správního orgánu při omezování tranzitní nákladní dopravy</w:t>
      </w:r>
      <w:bookmarkEnd w:id="8"/>
    </w:p>
    <w:p w:rsidR="00895ECF" w:rsidRDefault="00895ECF" w:rsidP="00F877B3">
      <w:pPr>
        <w:pStyle w:val="Blok1"/>
      </w:pPr>
      <w:r>
        <w:t xml:space="preserve">Příslušné správní orgány </w:t>
      </w:r>
      <w:r w:rsidR="005177A4">
        <w:t>postupují při stanovení v souladu s příslušnými ustanoveními zákona o silničním provozu a správního řádu. S účinností od 31. prosince 2015 je pro stanovení místní úpravy provozu, které je prováděno zákazovou značkou</w:t>
      </w:r>
      <w:r w:rsidR="00257C31">
        <w:t>, nutné</w:t>
      </w:r>
      <w:r w:rsidR="005177A4">
        <w:t xml:space="preserve"> postupovat podle části šesté správního řádu a vydat opatření obecné povahy.</w:t>
      </w:r>
      <w:r w:rsidR="003B1E2A">
        <w:t xml:space="preserve"> V případě stanovení místní úpravy provozu na pozemních komunikacích se bude toto opatření vydávat typicky na návrh tzv. navrhovatele.</w:t>
      </w:r>
    </w:p>
    <w:p w:rsidR="00EC64AC" w:rsidRPr="00EC64AC" w:rsidRDefault="00EC64AC" w:rsidP="00EC64AC">
      <w:pPr>
        <w:pStyle w:val="Nadpis2"/>
      </w:pPr>
      <w:bookmarkStart w:id="9" w:name="_Toc443481111"/>
      <w:r>
        <w:t>Řízení o návrhu</w:t>
      </w:r>
      <w:bookmarkEnd w:id="9"/>
    </w:p>
    <w:p w:rsidR="003B1E2A" w:rsidRDefault="005177A4" w:rsidP="00F877B3">
      <w:pPr>
        <w:pStyle w:val="Blok1"/>
      </w:pPr>
      <w:r>
        <w:t xml:space="preserve">Návrh opatření obecné povahy s odůvodněním správní orgán po projednání s dotčenými orgány </w:t>
      </w:r>
      <w:r w:rsidR="00EB5811">
        <w:t>(§ 77 odst. 2 zákona silničním provozu)</w:t>
      </w:r>
      <w:r>
        <w:t xml:space="preserve"> doručí veřejnou vyhláškou podle § 25</w:t>
      </w:r>
      <w:r w:rsidR="00EB5811">
        <w:t xml:space="preserve"> správního řádu</w:t>
      </w:r>
      <w:r>
        <w:t xml:space="preserve">, kterou vyvěsí na své úřední desce a </w:t>
      </w:r>
      <w:r w:rsidR="00EB5811" w:rsidRPr="00EB5811">
        <w:t xml:space="preserve">na úředních deskách obecních úřadů v obcích, jejichž správních obvodů se opatření obecné povahy týká, </w:t>
      </w:r>
      <w:r w:rsidR="00EB5811">
        <w:t xml:space="preserve">to však </w:t>
      </w:r>
      <w:r w:rsidR="00EB5811" w:rsidRPr="00EB5811">
        <w:t>jen</w:t>
      </w:r>
      <w:r w:rsidR="003B1E2A">
        <w:t xml:space="preserve"> tehdy,</w:t>
      </w:r>
      <w:r w:rsidR="00EB5811" w:rsidRPr="00EB5811">
        <w:t xml:space="preserve"> vztahuje-li se stanovení místní úpravy provozu na pozemních komunikacích k</w:t>
      </w:r>
      <w:r w:rsidR="003B1E2A">
        <w:t> </w:t>
      </w:r>
      <w:r w:rsidR="00EB5811" w:rsidRPr="00EB5811">
        <w:t>provozu v</w:t>
      </w:r>
      <w:r w:rsidR="003B1E2A">
        <w:t> </w:t>
      </w:r>
      <w:r w:rsidR="00EB5811" w:rsidRPr="00EB5811">
        <w:t>zastavěném území dotčené obce nebo může-li stanovením místní úpravy provozu na pozemních komunikacích dojít ke zvýšení hustoty provozu v</w:t>
      </w:r>
      <w:r w:rsidR="003B1E2A">
        <w:t> </w:t>
      </w:r>
      <w:r w:rsidR="00EB5811" w:rsidRPr="00EB5811">
        <w:t>zastavěném území dotčené obce</w:t>
      </w:r>
      <w:r w:rsidR="00EB5811">
        <w:t>.</w:t>
      </w:r>
      <w:r>
        <w:t xml:space="preserve"> </w:t>
      </w:r>
    </w:p>
    <w:p w:rsidR="003B1E2A" w:rsidRDefault="00EB5811" w:rsidP="005177A4">
      <w:pPr>
        <w:pStyle w:val="Blok2"/>
      </w:pPr>
      <w:r>
        <w:t>V rámci veřejné vyhlášky</w:t>
      </w:r>
      <w:r w:rsidR="005177A4">
        <w:t xml:space="preserve"> vyzve</w:t>
      </w:r>
      <w:r>
        <w:t xml:space="preserve"> příslušný správní orgán</w:t>
      </w:r>
      <w:r w:rsidR="005177A4">
        <w:t xml:space="preserve"> dotčené osoby, aby k</w:t>
      </w:r>
      <w:r>
        <w:t> </w:t>
      </w:r>
      <w:r w:rsidR="005177A4">
        <w:t xml:space="preserve">návrhu opatření </w:t>
      </w:r>
      <w:r w:rsidR="00257C31">
        <w:t xml:space="preserve">obecné povahy </w:t>
      </w:r>
      <w:r w:rsidR="005177A4">
        <w:t xml:space="preserve">podávaly připomínky nebo námitky. </w:t>
      </w:r>
    </w:p>
    <w:p w:rsidR="005177A4" w:rsidRDefault="005177A4" w:rsidP="005177A4">
      <w:pPr>
        <w:pStyle w:val="Blok2"/>
      </w:pPr>
      <w:r>
        <w:t>Návrh opatření obecné povahy musí být zveřejněn nejméně po dobu 15 dnů.</w:t>
      </w:r>
    </w:p>
    <w:p w:rsidR="005177A4" w:rsidRDefault="005177A4" w:rsidP="005177A4">
      <w:pPr>
        <w:pStyle w:val="Blok2"/>
      </w:pPr>
      <w:r>
        <w:t>Není-li vzhledem k rozsahu návrhu možno zveřejnit jej na úřední desce v úplném znění, musí být na úřední desce uvedeno, o jaké opatření obecné povahy jde, čích zájmů se přímo dotýká a</w:t>
      </w:r>
      <w:r w:rsidR="00EB5811">
        <w:t> </w:t>
      </w:r>
      <w:r>
        <w:t>kde a</w:t>
      </w:r>
      <w:r w:rsidR="003B1E2A">
        <w:t> </w:t>
      </w:r>
      <w:r>
        <w:t>v jaké lhůtě se lze s návrhem seznámit. Úplné znění návrhu včetně odůvodnění však musí být i</w:t>
      </w:r>
      <w:r w:rsidR="00EB5811">
        <w:t> </w:t>
      </w:r>
      <w:r>
        <w:t>v</w:t>
      </w:r>
      <w:r w:rsidR="00EB5811">
        <w:t> </w:t>
      </w:r>
      <w:r>
        <w:t>takovém případě zveřejněno způsobem umožňujícím dálkový přístup.</w:t>
      </w:r>
    </w:p>
    <w:p w:rsidR="005177A4" w:rsidRDefault="005177A4" w:rsidP="005177A4">
      <w:pPr>
        <w:pStyle w:val="Blok2"/>
      </w:pPr>
      <w:r>
        <w:t>Řízení o návrhu opatření obecné povahy je písemné, pokud zákon nestanoví nebo správní orgán neurčí, že se koná veřejné projednání návrhu. Dobu a místo konání veřejného projednání správní orgán oznámí na úře</w:t>
      </w:r>
      <w:r w:rsidR="00EB5811">
        <w:t>dní desce nejméně 15 dnů předem</w:t>
      </w:r>
      <w:r>
        <w:t>. Hrozí-li nebezpečí z prodlení, je možné tuto dobu zkrátit; nestanoví-li zákon jinak, musí zkrácená doba činit nejméně 5 dní.</w:t>
      </w:r>
    </w:p>
    <w:p w:rsidR="005177A4" w:rsidRDefault="005177A4" w:rsidP="005177A4">
      <w:pPr>
        <w:pStyle w:val="Blok2"/>
      </w:pPr>
      <w:r>
        <w:t>K návrhu opatření obecné povahy může kdokoli, jehož práva, povinnosti nebo zájmy mohou být opatřením obecné povahy přímo dotčeny, uplatnit u správního orgánu písemné připomínky nebo na veřejném projednání ústní připomínky. Správní orgán je povinen se připomínkami zabývat jako podkladem pro opatření obecné povahy a vypořádat se s nimi v jeho odůvodnění.</w:t>
      </w:r>
    </w:p>
    <w:p w:rsidR="00EC64AC" w:rsidRDefault="005177A4" w:rsidP="005177A4">
      <w:pPr>
        <w:pStyle w:val="Blok2"/>
      </w:pPr>
      <w:r>
        <w:t>Vlastníci nemovitostí, jejichž práva, povinnosti nebo zájmy související s výkonem vlastnického práva mohou být opatřením obecné povahy přímo dotčeny, nebo, určí-li tak správní orgán, i jiné osoby, jejichž oprávněné zájmy mohou být opatřením obecné povahy přímo dotčeny,</w:t>
      </w:r>
      <w:r w:rsidR="00EC64AC">
        <w:t xml:space="preserve"> (v případě místní úpravy provozu na pozemních komunikací jím bude vždy vlastník pozemní komunikace)</w:t>
      </w:r>
      <w:r>
        <w:t xml:space="preserve"> mohou podat proti návrhu opatření obecné povahy písemné odůvodněné námitky ke správnímu orgánu ve lhůtě 30 dnů ode dne jeho zveřejnění. </w:t>
      </w:r>
    </w:p>
    <w:p w:rsidR="005177A4" w:rsidRDefault="005177A4" w:rsidP="005177A4">
      <w:pPr>
        <w:pStyle w:val="Blok2"/>
      </w:pPr>
      <w:r>
        <w:t>O námitkách rozhoduje správní orgán, který opatření obecné povahy vydává. Jestliže by vyřízení námitky vedlo k řešení, které přímo ovlivní oprávněné zájmy některé osoby jiným způsobem než návrh opatření obecné povahy, a není-li změna zjevně též v její prospěch, zjistí správní orgán její stanovisko. Rozhodnutí o námitkách, které musí obsahovat vlastní odůvodnění, se uvede jako součást odůvodnění opatření obecné povahy</w:t>
      </w:r>
      <w:r w:rsidR="00EC64AC">
        <w:t>.</w:t>
      </w:r>
    </w:p>
    <w:p w:rsidR="003B1E2A" w:rsidRDefault="003B1E2A" w:rsidP="005177A4">
      <w:pPr>
        <w:pStyle w:val="Blok2"/>
      </w:pPr>
    </w:p>
    <w:p w:rsidR="00EC64AC" w:rsidRDefault="00EC64AC" w:rsidP="00EC64AC">
      <w:pPr>
        <w:pStyle w:val="Nadpis2"/>
      </w:pPr>
      <w:bookmarkStart w:id="10" w:name="_Toc443481112"/>
      <w:r>
        <w:t>Vydání opatření obecné povahy</w:t>
      </w:r>
      <w:bookmarkEnd w:id="10"/>
    </w:p>
    <w:p w:rsidR="00EC64AC" w:rsidRDefault="0012514C" w:rsidP="00F877B3">
      <w:pPr>
        <w:pStyle w:val="Blok1"/>
      </w:pPr>
      <w:r>
        <w:t xml:space="preserve">Opatření obecné povahy </w:t>
      </w:r>
      <w:r w:rsidR="005177A4">
        <w:t>správní orgán oznámí veřejnou vyhláškou</w:t>
      </w:r>
      <w:r>
        <w:t xml:space="preserve"> a</w:t>
      </w:r>
      <w:r w:rsidR="00EC64AC">
        <w:t xml:space="preserve"> obdobně jako u návrhu </w:t>
      </w:r>
      <w:r>
        <w:t xml:space="preserve">jej </w:t>
      </w:r>
      <w:r w:rsidR="00EC64AC">
        <w:t>zveřejní na své úřední desce. N</w:t>
      </w:r>
      <w:r w:rsidR="00EC64AC" w:rsidRPr="00EB5811">
        <w:t xml:space="preserve">a úředních deskách obecních úřadů v obcích, jejichž správních obvodů se opatření obecné povahy týká, </w:t>
      </w:r>
      <w:r w:rsidR="00EC64AC">
        <w:t xml:space="preserve">jej zveřejní </w:t>
      </w:r>
      <w:r w:rsidR="00EC64AC" w:rsidRPr="00EB5811">
        <w:t xml:space="preserve">jen </w:t>
      </w:r>
      <w:r w:rsidR="00EC64AC">
        <w:t xml:space="preserve">tehdy, </w:t>
      </w:r>
      <w:r w:rsidR="00EC64AC" w:rsidRPr="00EB5811">
        <w:t>vztahuje-li se stanovení k provozu v</w:t>
      </w:r>
      <w:r>
        <w:t> </w:t>
      </w:r>
      <w:r w:rsidR="00EC64AC" w:rsidRPr="00EB5811">
        <w:t>zastavěném území dotčené obce nebo může-li stanovením dojít ke zvýšení hustoty provozu v</w:t>
      </w:r>
      <w:r>
        <w:t> </w:t>
      </w:r>
      <w:r w:rsidR="00EC64AC" w:rsidRPr="00EB5811">
        <w:t>zastavěném území dotčené obce</w:t>
      </w:r>
      <w:r w:rsidR="00EC64AC">
        <w:t>.</w:t>
      </w:r>
    </w:p>
    <w:p w:rsidR="0012514C" w:rsidRDefault="0012514C" w:rsidP="00EC64AC">
      <w:pPr>
        <w:pStyle w:val="Blok2"/>
      </w:pPr>
      <w:r>
        <w:t>Opatření obecné povahy musí obsahovat odůvodnění, pro jehož obsah se přiměřeně použijí ustanovení správního řádu, které se týkají odůvodnění rozhodnutí, a doplní se další povinné náležitosti. Odůvodnění tak bude obsahovat</w:t>
      </w:r>
      <w:r w:rsidRPr="0012514C">
        <w:t xml:space="preserve"> důvody </w:t>
      </w:r>
      <w:r>
        <w:t>pro vydání opatření obecné povahy</w:t>
      </w:r>
      <w:r w:rsidRPr="0012514C">
        <w:t>, podklady pro jeho vydání, úvahy, kterými se správní orgán řídil při jejich hodnocení a při výkladu právních předpisů, a informace o tom, jak se správní orgán vypořádal s</w:t>
      </w:r>
      <w:r>
        <w:t> připomínkami dotčených osob</w:t>
      </w:r>
      <w:r w:rsidRPr="0012514C">
        <w:t>.</w:t>
      </w:r>
      <w:r>
        <w:t xml:space="preserve"> Jako součást odůvodnění se uvádí také rozhodnutí o námitkách dotčených osob s vlastním odůvodněním.</w:t>
      </w:r>
    </w:p>
    <w:p w:rsidR="00EC64AC" w:rsidRDefault="005177A4" w:rsidP="00EC64AC">
      <w:pPr>
        <w:pStyle w:val="Blok2"/>
      </w:pPr>
      <w:r>
        <w:t>Opatření obecné povahy nabývá účinnosti patnáctým dnem p</w:t>
      </w:r>
      <w:r w:rsidR="0012514C">
        <w:t xml:space="preserve">o dni vyvěšení veřejné vyhlášky a nelze proti němu podat žádný </w:t>
      </w:r>
      <w:r w:rsidR="00257C31">
        <w:t xml:space="preserve">řádný </w:t>
      </w:r>
      <w:r w:rsidR="0012514C">
        <w:t xml:space="preserve">opravný prostředek. Správní řád však připouští možnost posouzení souladu </w:t>
      </w:r>
      <w:r w:rsidR="0012514C" w:rsidRPr="0012514C">
        <w:t>opatření obecné povahy s právními předpisy v</w:t>
      </w:r>
      <w:r w:rsidR="0012514C">
        <w:t> </w:t>
      </w:r>
      <w:r w:rsidR="0012514C" w:rsidRPr="0012514C">
        <w:t>přezkumném řízení. Usnesení o</w:t>
      </w:r>
      <w:r w:rsidR="00257C31">
        <w:t> </w:t>
      </w:r>
      <w:r w:rsidR="0012514C" w:rsidRPr="0012514C">
        <w:t xml:space="preserve">zahájení přezkumného řízení lze vydat do 3 let od účinnosti opatření. </w:t>
      </w:r>
    </w:p>
    <w:p w:rsidR="005177A4" w:rsidRDefault="005177A4" w:rsidP="00EC64AC">
      <w:pPr>
        <w:pStyle w:val="Blok2"/>
      </w:pPr>
      <w:r>
        <w:t>Do opatření obecné povahy a jeho odůvodnění může každý nahlédnout u správního orgánu, který opatření obecné povahy vydal.</w:t>
      </w:r>
    </w:p>
    <w:p w:rsidR="005177A4" w:rsidRPr="005177A4" w:rsidRDefault="0012514C" w:rsidP="005177A4">
      <w:pPr>
        <w:pStyle w:val="Blok2"/>
      </w:pPr>
      <w:r>
        <w:t xml:space="preserve">Závěrem je nezbytné </w:t>
      </w:r>
      <w:r w:rsidR="003B1E2A">
        <w:t>doplnit</w:t>
      </w:r>
      <w:r>
        <w:t xml:space="preserve">, </w:t>
      </w:r>
      <w:r w:rsidRPr="0012514C">
        <w:t>že</w:t>
      </w:r>
      <w:r>
        <w:t xml:space="preserve"> </w:t>
      </w:r>
      <w:r w:rsidRPr="0012514C">
        <w:t>p</w:t>
      </w:r>
      <w:r w:rsidR="005177A4" w:rsidRPr="0012514C">
        <w:t>ovinnost</w:t>
      </w:r>
      <w:r w:rsidR="005177A4">
        <w:t>, která je stanovena zákonem a jejíž rozsah je v</w:t>
      </w:r>
      <w:r>
        <w:t> </w:t>
      </w:r>
      <w:r w:rsidR="005177A4">
        <w:t>mezích zákona určen opatřením obecné povahy, lze exekučně vymáhat jedině tehdy, jestliže bylo vydáno rozhodnutí, které existenci této povinnosti prohlásilo a v němž byla osoba, jež tuto povinnost má, jmenovitě uvedena.</w:t>
      </w:r>
    </w:p>
    <w:p w:rsidR="00161BFA" w:rsidRPr="00F9698C" w:rsidRDefault="006910E1" w:rsidP="00BD404B">
      <w:pPr>
        <w:pStyle w:val="Blok2"/>
        <w:sectPr w:rsidR="00161BFA" w:rsidRPr="00F9698C" w:rsidSect="007F797E">
          <w:headerReference w:type="even" r:id="rId12"/>
          <w:headerReference w:type="default" r:id="rId13"/>
          <w:headerReference w:type="first" r:id="rId14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D2F45">
        <w:t xml:space="preserve"> </w:t>
      </w:r>
    </w:p>
    <w:p w:rsidR="00161BFA" w:rsidRPr="00CD2F45" w:rsidRDefault="00A70361" w:rsidP="00161BFA">
      <w:pPr>
        <w:pStyle w:val="Bezmezer"/>
        <w:ind w:firstLine="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66" type="#_x0000_t202" style="position:absolute;left:0;text-align:left;margin-left:30.4pt;margin-top:302.55pt;width:408.1pt;height:122.3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 style="mso-next-textbox:#Textové pole 2">
              <w:txbxContent>
                <w:p w:rsidR="00B8023E" w:rsidRPr="00B8023E" w:rsidRDefault="00B8023E" w:rsidP="00B8023E">
                  <w:pPr>
                    <w:pStyle w:val="Bezmezer"/>
                    <w:ind w:firstLine="0"/>
                    <w:jc w:val="center"/>
                    <w:rPr>
                      <w:b/>
                    </w:rPr>
                  </w:pPr>
                  <w:r w:rsidRPr="00B8023E">
                    <w:rPr>
                      <w:b/>
                    </w:rPr>
                    <w:t xml:space="preserve">Příručka je zpracována podle právního stavu účinného ke dni </w:t>
                  </w:r>
                  <w:r w:rsidR="00F63998">
                    <w:rPr>
                      <w:b/>
                    </w:rPr>
                    <w:t>1. ledna 2016</w:t>
                  </w:r>
                </w:p>
                <w:p w:rsidR="00B8023E" w:rsidRPr="00B8023E" w:rsidRDefault="00B8023E" w:rsidP="00B8023E">
                  <w:pPr>
                    <w:pStyle w:val="Bezmezer"/>
                    <w:ind w:firstLine="0"/>
                    <w:jc w:val="center"/>
                    <w:rPr>
                      <w:b/>
                    </w:rPr>
                  </w:pPr>
                </w:p>
                <w:p w:rsidR="00B8023E" w:rsidRDefault="00B8023E" w:rsidP="00B8023E">
                  <w:pPr>
                    <w:pStyle w:val="Bezmezer"/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Příručku vydalo </w:t>
                  </w:r>
                </w:p>
                <w:p w:rsidR="00B8023E" w:rsidRPr="00B8023E" w:rsidRDefault="00B8023E" w:rsidP="00B8023E">
                  <w:pPr>
                    <w:pStyle w:val="Bezmezer"/>
                    <w:ind w:firstLine="0"/>
                    <w:jc w:val="center"/>
                    <w:rPr>
                      <w:b/>
                    </w:rPr>
                  </w:pPr>
                  <w:r w:rsidRPr="00B8023E">
                    <w:rPr>
                      <w:b/>
                    </w:rPr>
                    <w:t>Ministerstvo dopravy, Odbor pozemních komunikací</w:t>
                  </w:r>
                </w:p>
                <w:p w:rsidR="004F0061" w:rsidRPr="004F0061" w:rsidRDefault="00B8023E" w:rsidP="004F0061">
                  <w:pPr>
                    <w:pStyle w:val="ZZZEsster10B"/>
                    <w:jc w:val="center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4F0061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 xml:space="preserve">Č. j. </w:t>
                  </w:r>
                  <w:r w:rsidR="004F0061" w:rsidRPr="004F0061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fldChar w:fldCharType="begin"/>
                  </w:r>
                  <w:r w:rsidR="004F0061" w:rsidRPr="004F0061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instrText xml:space="preserve"> DOCPROPERTY  "mCjP" </w:instrText>
                  </w:r>
                  <w:r w:rsidR="004F0061" w:rsidRPr="004F0061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="004F0061" w:rsidRPr="004F0061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50/2016-120-OST/1</w:t>
                  </w:r>
                  <w:r w:rsidR="004F0061" w:rsidRPr="004F0061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  <w:p w:rsidR="00B8023E" w:rsidRPr="00B8023E" w:rsidRDefault="00B8023E" w:rsidP="00B8023E">
                  <w:pPr>
                    <w:pStyle w:val="Bezmezer"/>
                    <w:ind w:firstLine="0"/>
                    <w:jc w:val="center"/>
                    <w:rPr>
                      <w:b/>
                    </w:rPr>
                  </w:pPr>
                </w:p>
                <w:p w:rsidR="00B8023E" w:rsidRPr="00B8023E" w:rsidRDefault="00B8023E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  <w:bookmarkEnd w:id="0"/>
      <w:bookmarkEnd w:id="1"/>
    </w:p>
    <w:sectPr w:rsidR="00161BFA" w:rsidRPr="00CD2F45" w:rsidSect="007F797E">
      <w:footnotePr>
        <w:numRestart w:val="eachSect"/>
      </w:footnotePr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71" w:rsidRDefault="00831A71" w:rsidP="005370CF">
      <w:r>
        <w:separator/>
      </w:r>
    </w:p>
  </w:endnote>
  <w:endnote w:type="continuationSeparator" w:id="0">
    <w:p w:rsidR="00831A71" w:rsidRDefault="00831A71" w:rsidP="0053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74" w:rsidRDefault="00250D7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70361">
      <w:rPr>
        <w:noProof/>
      </w:rPr>
      <w:t>7</w:t>
    </w:r>
    <w:r>
      <w:fldChar w:fldCharType="end"/>
    </w:r>
  </w:p>
  <w:p w:rsidR="00250D74" w:rsidRDefault="00250D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71" w:rsidRDefault="00831A71" w:rsidP="005370CF">
      <w:r>
        <w:separator/>
      </w:r>
    </w:p>
  </w:footnote>
  <w:footnote w:type="continuationSeparator" w:id="0">
    <w:p w:rsidR="00831A71" w:rsidRDefault="00831A71" w:rsidP="00537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71" w:rsidRDefault="00831A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71" w:rsidRPr="00DA1F1B" w:rsidRDefault="00831A71" w:rsidP="005370CF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71" w:rsidRDefault="00831A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1421"/>
    <w:multiLevelType w:val="hybridMultilevel"/>
    <w:tmpl w:val="D3FAD0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02031"/>
    <w:multiLevelType w:val="hybridMultilevel"/>
    <w:tmpl w:val="57444E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D4332"/>
    <w:multiLevelType w:val="hybridMultilevel"/>
    <w:tmpl w:val="197629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663E"/>
    <w:multiLevelType w:val="hybridMultilevel"/>
    <w:tmpl w:val="260037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12381"/>
    <w:multiLevelType w:val="hybridMultilevel"/>
    <w:tmpl w:val="74F09F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77492"/>
    <w:multiLevelType w:val="hybridMultilevel"/>
    <w:tmpl w:val="BF8E51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438F7"/>
    <w:multiLevelType w:val="hybridMultilevel"/>
    <w:tmpl w:val="87DA5134"/>
    <w:lvl w:ilvl="0" w:tplc="0908ED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081395"/>
    <w:multiLevelType w:val="hybridMultilevel"/>
    <w:tmpl w:val="E8328696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202B0B"/>
    <w:multiLevelType w:val="hybridMultilevel"/>
    <w:tmpl w:val="E438BB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0D80"/>
    <w:multiLevelType w:val="hybridMultilevel"/>
    <w:tmpl w:val="D6A04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5320B"/>
    <w:multiLevelType w:val="hybridMultilevel"/>
    <w:tmpl w:val="1F64AC8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712249"/>
    <w:multiLevelType w:val="hybridMultilevel"/>
    <w:tmpl w:val="10028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94D2F"/>
    <w:multiLevelType w:val="hybridMultilevel"/>
    <w:tmpl w:val="9814B13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C3E5F"/>
    <w:multiLevelType w:val="hybridMultilevel"/>
    <w:tmpl w:val="E2A6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2" w:tplc="E1A076A8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10693"/>
    <w:multiLevelType w:val="hybridMultilevel"/>
    <w:tmpl w:val="D8C0D8F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883D21"/>
    <w:multiLevelType w:val="hybridMultilevel"/>
    <w:tmpl w:val="910CFC7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5C5754"/>
    <w:multiLevelType w:val="hybridMultilevel"/>
    <w:tmpl w:val="EA58C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511E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1"/>
  </w:num>
  <w:num w:numId="5">
    <w:abstractNumId w:val="14"/>
  </w:num>
  <w:num w:numId="6">
    <w:abstractNumId w:val="6"/>
  </w:num>
  <w:num w:numId="7">
    <w:abstractNumId w:val="9"/>
  </w:num>
  <w:num w:numId="8">
    <w:abstractNumId w:val="17"/>
  </w:num>
  <w:num w:numId="9">
    <w:abstractNumId w:val="17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2"/>
  </w:num>
  <w:num w:numId="19">
    <w:abstractNumId w:val="16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9CA"/>
    <w:rsid w:val="0000056C"/>
    <w:rsid w:val="00001F3D"/>
    <w:rsid w:val="000026C0"/>
    <w:rsid w:val="00002CB9"/>
    <w:rsid w:val="000043C3"/>
    <w:rsid w:val="000118C2"/>
    <w:rsid w:val="000136CA"/>
    <w:rsid w:val="00015B01"/>
    <w:rsid w:val="0001633F"/>
    <w:rsid w:val="0001773F"/>
    <w:rsid w:val="00022EC6"/>
    <w:rsid w:val="00024E16"/>
    <w:rsid w:val="00026243"/>
    <w:rsid w:val="000275F3"/>
    <w:rsid w:val="000319CC"/>
    <w:rsid w:val="00031BFC"/>
    <w:rsid w:val="000321AA"/>
    <w:rsid w:val="00036E43"/>
    <w:rsid w:val="00036EAA"/>
    <w:rsid w:val="00037AE8"/>
    <w:rsid w:val="00042340"/>
    <w:rsid w:val="000470D9"/>
    <w:rsid w:val="000506F9"/>
    <w:rsid w:val="0005279F"/>
    <w:rsid w:val="000531A9"/>
    <w:rsid w:val="000552A3"/>
    <w:rsid w:val="000558AC"/>
    <w:rsid w:val="00057C7E"/>
    <w:rsid w:val="0006181E"/>
    <w:rsid w:val="00063649"/>
    <w:rsid w:val="00063F08"/>
    <w:rsid w:val="00064088"/>
    <w:rsid w:val="00064BC2"/>
    <w:rsid w:val="00067C1C"/>
    <w:rsid w:val="00070BBC"/>
    <w:rsid w:val="00072221"/>
    <w:rsid w:val="00074B66"/>
    <w:rsid w:val="00076E35"/>
    <w:rsid w:val="0008210C"/>
    <w:rsid w:val="0008348B"/>
    <w:rsid w:val="00084465"/>
    <w:rsid w:val="00085FA7"/>
    <w:rsid w:val="0008730D"/>
    <w:rsid w:val="00090579"/>
    <w:rsid w:val="00090EE7"/>
    <w:rsid w:val="00091EBB"/>
    <w:rsid w:val="0009571C"/>
    <w:rsid w:val="00096C18"/>
    <w:rsid w:val="000A0417"/>
    <w:rsid w:val="000A0580"/>
    <w:rsid w:val="000A5008"/>
    <w:rsid w:val="000A5467"/>
    <w:rsid w:val="000A5E9E"/>
    <w:rsid w:val="000B07CD"/>
    <w:rsid w:val="000B09C2"/>
    <w:rsid w:val="000B0EA3"/>
    <w:rsid w:val="000B132A"/>
    <w:rsid w:val="000B1CEE"/>
    <w:rsid w:val="000B1EB9"/>
    <w:rsid w:val="000B1FBD"/>
    <w:rsid w:val="000B39CC"/>
    <w:rsid w:val="000B510A"/>
    <w:rsid w:val="000C037E"/>
    <w:rsid w:val="000C0387"/>
    <w:rsid w:val="000C486C"/>
    <w:rsid w:val="000C4B4D"/>
    <w:rsid w:val="000C4E21"/>
    <w:rsid w:val="000C4FF3"/>
    <w:rsid w:val="000C54C8"/>
    <w:rsid w:val="000C7E86"/>
    <w:rsid w:val="000D1146"/>
    <w:rsid w:val="000D1B37"/>
    <w:rsid w:val="000D28A0"/>
    <w:rsid w:val="000E1169"/>
    <w:rsid w:val="000E185F"/>
    <w:rsid w:val="000E3B4D"/>
    <w:rsid w:val="000E531A"/>
    <w:rsid w:val="000E6D60"/>
    <w:rsid w:val="000F30C0"/>
    <w:rsid w:val="0010066F"/>
    <w:rsid w:val="0010639E"/>
    <w:rsid w:val="00107F50"/>
    <w:rsid w:val="00111BDB"/>
    <w:rsid w:val="00114A2F"/>
    <w:rsid w:val="0011628E"/>
    <w:rsid w:val="001172D1"/>
    <w:rsid w:val="0012514C"/>
    <w:rsid w:val="00126989"/>
    <w:rsid w:val="00127EC0"/>
    <w:rsid w:val="00131C49"/>
    <w:rsid w:val="0013472D"/>
    <w:rsid w:val="001349D0"/>
    <w:rsid w:val="0014290B"/>
    <w:rsid w:val="00143193"/>
    <w:rsid w:val="00143586"/>
    <w:rsid w:val="00143873"/>
    <w:rsid w:val="00145F24"/>
    <w:rsid w:val="00146456"/>
    <w:rsid w:val="00151D06"/>
    <w:rsid w:val="00153036"/>
    <w:rsid w:val="00153511"/>
    <w:rsid w:val="00155AE8"/>
    <w:rsid w:val="0015748F"/>
    <w:rsid w:val="00160190"/>
    <w:rsid w:val="00161BFA"/>
    <w:rsid w:val="00163075"/>
    <w:rsid w:val="001647D2"/>
    <w:rsid w:val="0017138B"/>
    <w:rsid w:val="001732A5"/>
    <w:rsid w:val="00177FE4"/>
    <w:rsid w:val="001805C3"/>
    <w:rsid w:val="0018093E"/>
    <w:rsid w:val="001822C7"/>
    <w:rsid w:val="00182312"/>
    <w:rsid w:val="001862F4"/>
    <w:rsid w:val="001864AC"/>
    <w:rsid w:val="00190AB0"/>
    <w:rsid w:val="00190E03"/>
    <w:rsid w:val="0019280D"/>
    <w:rsid w:val="00195041"/>
    <w:rsid w:val="0019517C"/>
    <w:rsid w:val="00196119"/>
    <w:rsid w:val="001A0841"/>
    <w:rsid w:val="001A20EC"/>
    <w:rsid w:val="001A6691"/>
    <w:rsid w:val="001A675B"/>
    <w:rsid w:val="001A709B"/>
    <w:rsid w:val="001A7A70"/>
    <w:rsid w:val="001B0C89"/>
    <w:rsid w:val="001B259E"/>
    <w:rsid w:val="001B50FE"/>
    <w:rsid w:val="001C1B32"/>
    <w:rsid w:val="001C62E7"/>
    <w:rsid w:val="001D0146"/>
    <w:rsid w:val="001D0172"/>
    <w:rsid w:val="001D163C"/>
    <w:rsid w:val="001D194E"/>
    <w:rsid w:val="001D26CD"/>
    <w:rsid w:val="001D528D"/>
    <w:rsid w:val="001D66E9"/>
    <w:rsid w:val="001D6B2A"/>
    <w:rsid w:val="001D6F7A"/>
    <w:rsid w:val="001E0612"/>
    <w:rsid w:val="001E0C57"/>
    <w:rsid w:val="001E172C"/>
    <w:rsid w:val="001E1EA3"/>
    <w:rsid w:val="001E66CD"/>
    <w:rsid w:val="001E7613"/>
    <w:rsid w:val="001F4068"/>
    <w:rsid w:val="001F41E9"/>
    <w:rsid w:val="001F4C94"/>
    <w:rsid w:val="001F7D73"/>
    <w:rsid w:val="00202F67"/>
    <w:rsid w:val="0020683D"/>
    <w:rsid w:val="00207480"/>
    <w:rsid w:val="002101BB"/>
    <w:rsid w:val="002126EA"/>
    <w:rsid w:val="00212889"/>
    <w:rsid w:val="00212973"/>
    <w:rsid w:val="00217845"/>
    <w:rsid w:val="0022050A"/>
    <w:rsid w:val="0022220F"/>
    <w:rsid w:val="0022531C"/>
    <w:rsid w:val="00226D82"/>
    <w:rsid w:val="002330DD"/>
    <w:rsid w:val="0023540B"/>
    <w:rsid w:val="00241A23"/>
    <w:rsid w:val="002425D6"/>
    <w:rsid w:val="002435F9"/>
    <w:rsid w:val="00246735"/>
    <w:rsid w:val="002477AE"/>
    <w:rsid w:val="00250D74"/>
    <w:rsid w:val="00251332"/>
    <w:rsid w:val="00254E0C"/>
    <w:rsid w:val="0025579E"/>
    <w:rsid w:val="00257C31"/>
    <w:rsid w:val="002613D9"/>
    <w:rsid w:val="00263FA2"/>
    <w:rsid w:val="00272909"/>
    <w:rsid w:val="00274F19"/>
    <w:rsid w:val="00275190"/>
    <w:rsid w:val="00276923"/>
    <w:rsid w:val="00281768"/>
    <w:rsid w:val="00284275"/>
    <w:rsid w:val="00284597"/>
    <w:rsid w:val="002847EF"/>
    <w:rsid w:val="00284DD8"/>
    <w:rsid w:val="002856FB"/>
    <w:rsid w:val="00287A94"/>
    <w:rsid w:val="00287C2E"/>
    <w:rsid w:val="00290E43"/>
    <w:rsid w:val="00291DCE"/>
    <w:rsid w:val="00292734"/>
    <w:rsid w:val="00293B5A"/>
    <w:rsid w:val="0029406A"/>
    <w:rsid w:val="002956ED"/>
    <w:rsid w:val="0029666C"/>
    <w:rsid w:val="002A15C8"/>
    <w:rsid w:val="002A7A4C"/>
    <w:rsid w:val="002B03D2"/>
    <w:rsid w:val="002B04DB"/>
    <w:rsid w:val="002B3D7C"/>
    <w:rsid w:val="002B663C"/>
    <w:rsid w:val="002B7965"/>
    <w:rsid w:val="002C0E55"/>
    <w:rsid w:val="002C3780"/>
    <w:rsid w:val="002C3D16"/>
    <w:rsid w:val="002D27AA"/>
    <w:rsid w:val="002D31C9"/>
    <w:rsid w:val="002E0A5C"/>
    <w:rsid w:val="002E0E73"/>
    <w:rsid w:val="002E2D71"/>
    <w:rsid w:val="002E66EF"/>
    <w:rsid w:val="002E70F5"/>
    <w:rsid w:val="002F28DE"/>
    <w:rsid w:val="002F48C0"/>
    <w:rsid w:val="002F5E86"/>
    <w:rsid w:val="002F65A1"/>
    <w:rsid w:val="0030079B"/>
    <w:rsid w:val="00302008"/>
    <w:rsid w:val="00303138"/>
    <w:rsid w:val="0030686A"/>
    <w:rsid w:val="0031292E"/>
    <w:rsid w:val="00314DF1"/>
    <w:rsid w:val="00321173"/>
    <w:rsid w:val="003223A0"/>
    <w:rsid w:val="00327DF3"/>
    <w:rsid w:val="00330014"/>
    <w:rsid w:val="003314A8"/>
    <w:rsid w:val="00333F56"/>
    <w:rsid w:val="00334A20"/>
    <w:rsid w:val="00335941"/>
    <w:rsid w:val="00340B46"/>
    <w:rsid w:val="00340CE4"/>
    <w:rsid w:val="0034139B"/>
    <w:rsid w:val="00343FF2"/>
    <w:rsid w:val="003441A0"/>
    <w:rsid w:val="00346DE3"/>
    <w:rsid w:val="00346EF3"/>
    <w:rsid w:val="003502A5"/>
    <w:rsid w:val="003572C8"/>
    <w:rsid w:val="003575FD"/>
    <w:rsid w:val="00362DD3"/>
    <w:rsid w:val="0036660E"/>
    <w:rsid w:val="0037246C"/>
    <w:rsid w:val="00373BEE"/>
    <w:rsid w:val="003779E4"/>
    <w:rsid w:val="003821EE"/>
    <w:rsid w:val="00386B5F"/>
    <w:rsid w:val="00397C08"/>
    <w:rsid w:val="003A031A"/>
    <w:rsid w:val="003A0B92"/>
    <w:rsid w:val="003A18C7"/>
    <w:rsid w:val="003A556B"/>
    <w:rsid w:val="003A7D38"/>
    <w:rsid w:val="003B1E2A"/>
    <w:rsid w:val="003B3E55"/>
    <w:rsid w:val="003C1C5F"/>
    <w:rsid w:val="003C1F90"/>
    <w:rsid w:val="003C2550"/>
    <w:rsid w:val="003D29CA"/>
    <w:rsid w:val="003D3D55"/>
    <w:rsid w:val="003D7297"/>
    <w:rsid w:val="003E28A1"/>
    <w:rsid w:val="003E42AA"/>
    <w:rsid w:val="003E4BC1"/>
    <w:rsid w:val="003E4E00"/>
    <w:rsid w:val="003E5B93"/>
    <w:rsid w:val="003E6DE6"/>
    <w:rsid w:val="003F059B"/>
    <w:rsid w:val="003F691E"/>
    <w:rsid w:val="00406440"/>
    <w:rsid w:val="004102A7"/>
    <w:rsid w:val="00411DD7"/>
    <w:rsid w:val="00415A5C"/>
    <w:rsid w:val="004169E4"/>
    <w:rsid w:val="00416A56"/>
    <w:rsid w:val="00417B28"/>
    <w:rsid w:val="0042182A"/>
    <w:rsid w:val="00421DA9"/>
    <w:rsid w:val="0043055A"/>
    <w:rsid w:val="004314C5"/>
    <w:rsid w:val="004320D7"/>
    <w:rsid w:val="004358A0"/>
    <w:rsid w:val="00435E57"/>
    <w:rsid w:val="00435E95"/>
    <w:rsid w:val="004400C1"/>
    <w:rsid w:val="00442AFF"/>
    <w:rsid w:val="00442D39"/>
    <w:rsid w:val="00445241"/>
    <w:rsid w:val="004463D7"/>
    <w:rsid w:val="00450361"/>
    <w:rsid w:val="00455F64"/>
    <w:rsid w:val="00457B72"/>
    <w:rsid w:val="004604D2"/>
    <w:rsid w:val="004607DA"/>
    <w:rsid w:val="0046093F"/>
    <w:rsid w:val="00462034"/>
    <w:rsid w:val="00462A6F"/>
    <w:rsid w:val="00464DE7"/>
    <w:rsid w:val="00465D88"/>
    <w:rsid w:val="00466130"/>
    <w:rsid w:val="0047023E"/>
    <w:rsid w:val="0047218C"/>
    <w:rsid w:val="0047307A"/>
    <w:rsid w:val="004744F1"/>
    <w:rsid w:val="0047653F"/>
    <w:rsid w:val="00476542"/>
    <w:rsid w:val="004777F4"/>
    <w:rsid w:val="00480E50"/>
    <w:rsid w:val="00481CC3"/>
    <w:rsid w:val="0048692E"/>
    <w:rsid w:val="00490D06"/>
    <w:rsid w:val="0049586F"/>
    <w:rsid w:val="004A02BB"/>
    <w:rsid w:val="004A2301"/>
    <w:rsid w:val="004A3BF4"/>
    <w:rsid w:val="004A42CD"/>
    <w:rsid w:val="004A611B"/>
    <w:rsid w:val="004A7325"/>
    <w:rsid w:val="004B1AB9"/>
    <w:rsid w:val="004B4D76"/>
    <w:rsid w:val="004B53A6"/>
    <w:rsid w:val="004B5EAF"/>
    <w:rsid w:val="004B6950"/>
    <w:rsid w:val="004B7AB8"/>
    <w:rsid w:val="004C03F3"/>
    <w:rsid w:val="004C0B94"/>
    <w:rsid w:val="004C4FA6"/>
    <w:rsid w:val="004C5B0D"/>
    <w:rsid w:val="004C72CB"/>
    <w:rsid w:val="004C782A"/>
    <w:rsid w:val="004C7B34"/>
    <w:rsid w:val="004D1281"/>
    <w:rsid w:val="004D280E"/>
    <w:rsid w:val="004D30FE"/>
    <w:rsid w:val="004D3D69"/>
    <w:rsid w:val="004D5B98"/>
    <w:rsid w:val="004E2929"/>
    <w:rsid w:val="004E47D0"/>
    <w:rsid w:val="004E4E08"/>
    <w:rsid w:val="004E6446"/>
    <w:rsid w:val="004F0061"/>
    <w:rsid w:val="004F06D5"/>
    <w:rsid w:val="004F31B3"/>
    <w:rsid w:val="004F73C2"/>
    <w:rsid w:val="00505E88"/>
    <w:rsid w:val="00506509"/>
    <w:rsid w:val="00506775"/>
    <w:rsid w:val="00507055"/>
    <w:rsid w:val="0050738D"/>
    <w:rsid w:val="00507831"/>
    <w:rsid w:val="00512A1B"/>
    <w:rsid w:val="005135D8"/>
    <w:rsid w:val="00513891"/>
    <w:rsid w:val="00517461"/>
    <w:rsid w:val="005177A4"/>
    <w:rsid w:val="005212BF"/>
    <w:rsid w:val="00522C16"/>
    <w:rsid w:val="005236F7"/>
    <w:rsid w:val="005241B2"/>
    <w:rsid w:val="00525983"/>
    <w:rsid w:val="00525A11"/>
    <w:rsid w:val="00530DC7"/>
    <w:rsid w:val="00533637"/>
    <w:rsid w:val="005344BD"/>
    <w:rsid w:val="00534DD0"/>
    <w:rsid w:val="00535001"/>
    <w:rsid w:val="005370CF"/>
    <w:rsid w:val="0054165D"/>
    <w:rsid w:val="00543C3C"/>
    <w:rsid w:val="00547B45"/>
    <w:rsid w:val="00550BA2"/>
    <w:rsid w:val="00551ACD"/>
    <w:rsid w:val="00552157"/>
    <w:rsid w:val="00555F1F"/>
    <w:rsid w:val="005606E7"/>
    <w:rsid w:val="00560D7E"/>
    <w:rsid w:val="005647AB"/>
    <w:rsid w:val="00564A43"/>
    <w:rsid w:val="00564FD8"/>
    <w:rsid w:val="005666EF"/>
    <w:rsid w:val="00571055"/>
    <w:rsid w:val="00571E30"/>
    <w:rsid w:val="00574735"/>
    <w:rsid w:val="00575319"/>
    <w:rsid w:val="00577039"/>
    <w:rsid w:val="00584A3C"/>
    <w:rsid w:val="00595654"/>
    <w:rsid w:val="005A3DF8"/>
    <w:rsid w:val="005A47AB"/>
    <w:rsid w:val="005B19B9"/>
    <w:rsid w:val="005B4A56"/>
    <w:rsid w:val="005B6734"/>
    <w:rsid w:val="005B76CB"/>
    <w:rsid w:val="005C0DA5"/>
    <w:rsid w:val="005C3148"/>
    <w:rsid w:val="005C3840"/>
    <w:rsid w:val="005C4E22"/>
    <w:rsid w:val="005C6E05"/>
    <w:rsid w:val="005C6FF5"/>
    <w:rsid w:val="005C716A"/>
    <w:rsid w:val="005C77FC"/>
    <w:rsid w:val="005D0D48"/>
    <w:rsid w:val="005D7221"/>
    <w:rsid w:val="005E2D9D"/>
    <w:rsid w:val="005E3620"/>
    <w:rsid w:val="005E3C13"/>
    <w:rsid w:val="005E7E39"/>
    <w:rsid w:val="005F2458"/>
    <w:rsid w:val="005F2C22"/>
    <w:rsid w:val="005F4806"/>
    <w:rsid w:val="005F5B46"/>
    <w:rsid w:val="005F7528"/>
    <w:rsid w:val="005F7645"/>
    <w:rsid w:val="00600297"/>
    <w:rsid w:val="0060233E"/>
    <w:rsid w:val="006025C1"/>
    <w:rsid w:val="00603495"/>
    <w:rsid w:val="006035D0"/>
    <w:rsid w:val="00603818"/>
    <w:rsid w:val="00603AE2"/>
    <w:rsid w:val="006055D3"/>
    <w:rsid w:val="006104B3"/>
    <w:rsid w:val="00613600"/>
    <w:rsid w:val="0061546F"/>
    <w:rsid w:val="006156D2"/>
    <w:rsid w:val="00615AB2"/>
    <w:rsid w:val="00620A3C"/>
    <w:rsid w:val="00621642"/>
    <w:rsid w:val="006220B4"/>
    <w:rsid w:val="006221C9"/>
    <w:rsid w:val="00623FCF"/>
    <w:rsid w:val="0062696F"/>
    <w:rsid w:val="006269B6"/>
    <w:rsid w:val="00627E9C"/>
    <w:rsid w:val="00632873"/>
    <w:rsid w:val="00633EF8"/>
    <w:rsid w:val="006409E4"/>
    <w:rsid w:val="00640C59"/>
    <w:rsid w:val="0064126C"/>
    <w:rsid w:val="006415D4"/>
    <w:rsid w:val="006424CA"/>
    <w:rsid w:val="006437F7"/>
    <w:rsid w:val="00646144"/>
    <w:rsid w:val="00650480"/>
    <w:rsid w:val="00650495"/>
    <w:rsid w:val="0065097A"/>
    <w:rsid w:val="006521BC"/>
    <w:rsid w:val="00653169"/>
    <w:rsid w:val="0065471F"/>
    <w:rsid w:val="00661CC4"/>
    <w:rsid w:val="00663269"/>
    <w:rsid w:val="006654FC"/>
    <w:rsid w:val="00667CF5"/>
    <w:rsid w:val="00671663"/>
    <w:rsid w:val="00672A1D"/>
    <w:rsid w:val="00674092"/>
    <w:rsid w:val="00675F7E"/>
    <w:rsid w:val="00676607"/>
    <w:rsid w:val="006768D4"/>
    <w:rsid w:val="0068287A"/>
    <w:rsid w:val="00684B7F"/>
    <w:rsid w:val="00686063"/>
    <w:rsid w:val="00686504"/>
    <w:rsid w:val="006903AF"/>
    <w:rsid w:val="006910E1"/>
    <w:rsid w:val="0069345E"/>
    <w:rsid w:val="006972D4"/>
    <w:rsid w:val="00697C38"/>
    <w:rsid w:val="006A0387"/>
    <w:rsid w:val="006A1488"/>
    <w:rsid w:val="006A3863"/>
    <w:rsid w:val="006A4FDF"/>
    <w:rsid w:val="006B0E69"/>
    <w:rsid w:val="006B1262"/>
    <w:rsid w:val="006B23B2"/>
    <w:rsid w:val="006B5D2D"/>
    <w:rsid w:val="006B7BE1"/>
    <w:rsid w:val="006C2989"/>
    <w:rsid w:val="006C349A"/>
    <w:rsid w:val="006C4B9B"/>
    <w:rsid w:val="006D26AC"/>
    <w:rsid w:val="006D4CA7"/>
    <w:rsid w:val="006D5A52"/>
    <w:rsid w:val="006D7E78"/>
    <w:rsid w:val="006E2ED0"/>
    <w:rsid w:val="006E479E"/>
    <w:rsid w:val="006E48DD"/>
    <w:rsid w:val="006E700D"/>
    <w:rsid w:val="006F16D9"/>
    <w:rsid w:val="006F2B91"/>
    <w:rsid w:val="006F5A14"/>
    <w:rsid w:val="006F630D"/>
    <w:rsid w:val="007004F2"/>
    <w:rsid w:val="00701E50"/>
    <w:rsid w:val="007068F9"/>
    <w:rsid w:val="00707655"/>
    <w:rsid w:val="00711895"/>
    <w:rsid w:val="0071487D"/>
    <w:rsid w:val="00715ECA"/>
    <w:rsid w:val="00720958"/>
    <w:rsid w:val="00724CCD"/>
    <w:rsid w:val="007272DD"/>
    <w:rsid w:val="007305F8"/>
    <w:rsid w:val="007317E2"/>
    <w:rsid w:val="007320CF"/>
    <w:rsid w:val="00734630"/>
    <w:rsid w:val="00737194"/>
    <w:rsid w:val="007373D8"/>
    <w:rsid w:val="00740E1A"/>
    <w:rsid w:val="00743B29"/>
    <w:rsid w:val="00743E95"/>
    <w:rsid w:val="007447C1"/>
    <w:rsid w:val="00745A7F"/>
    <w:rsid w:val="00745F50"/>
    <w:rsid w:val="0075209C"/>
    <w:rsid w:val="007523FD"/>
    <w:rsid w:val="007526F4"/>
    <w:rsid w:val="00753719"/>
    <w:rsid w:val="00754E02"/>
    <w:rsid w:val="00756701"/>
    <w:rsid w:val="00757B4B"/>
    <w:rsid w:val="0076014D"/>
    <w:rsid w:val="007601E0"/>
    <w:rsid w:val="00762406"/>
    <w:rsid w:val="00771A68"/>
    <w:rsid w:val="0077266B"/>
    <w:rsid w:val="0078115D"/>
    <w:rsid w:val="00781667"/>
    <w:rsid w:val="007843C5"/>
    <w:rsid w:val="007845DD"/>
    <w:rsid w:val="007846F0"/>
    <w:rsid w:val="00787365"/>
    <w:rsid w:val="00787AA3"/>
    <w:rsid w:val="007A09E2"/>
    <w:rsid w:val="007A0CE2"/>
    <w:rsid w:val="007A14A8"/>
    <w:rsid w:val="007A1CE7"/>
    <w:rsid w:val="007A3318"/>
    <w:rsid w:val="007A56DE"/>
    <w:rsid w:val="007A5EF9"/>
    <w:rsid w:val="007B05EF"/>
    <w:rsid w:val="007B304D"/>
    <w:rsid w:val="007B4D48"/>
    <w:rsid w:val="007B7435"/>
    <w:rsid w:val="007C3483"/>
    <w:rsid w:val="007D0EC0"/>
    <w:rsid w:val="007D2010"/>
    <w:rsid w:val="007E011D"/>
    <w:rsid w:val="007E0C01"/>
    <w:rsid w:val="007E0F32"/>
    <w:rsid w:val="007E252A"/>
    <w:rsid w:val="007E4A57"/>
    <w:rsid w:val="007F0AC6"/>
    <w:rsid w:val="007F0B85"/>
    <w:rsid w:val="007F165B"/>
    <w:rsid w:val="007F303B"/>
    <w:rsid w:val="007F30C8"/>
    <w:rsid w:val="007F3E08"/>
    <w:rsid w:val="007F53D5"/>
    <w:rsid w:val="007F78D5"/>
    <w:rsid w:val="007F797E"/>
    <w:rsid w:val="00801A9A"/>
    <w:rsid w:val="00801AC4"/>
    <w:rsid w:val="00801E8A"/>
    <w:rsid w:val="008037FE"/>
    <w:rsid w:val="00805070"/>
    <w:rsid w:val="008050C7"/>
    <w:rsid w:val="0080553A"/>
    <w:rsid w:val="00813FCF"/>
    <w:rsid w:val="00814798"/>
    <w:rsid w:val="00815550"/>
    <w:rsid w:val="00825820"/>
    <w:rsid w:val="00827FBA"/>
    <w:rsid w:val="0083012C"/>
    <w:rsid w:val="008308E3"/>
    <w:rsid w:val="00830F42"/>
    <w:rsid w:val="00831A71"/>
    <w:rsid w:val="0083303F"/>
    <w:rsid w:val="0083324A"/>
    <w:rsid w:val="008334FA"/>
    <w:rsid w:val="0083436B"/>
    <w:rsid w:val="00834CF2"/>
    <w:rsid w:val="008352D2"/>
    <w:rsid w:val="008379C1"/>
    <w:rsid w:val="00837DDB"/>
    <w:rsid w:val="00840A9B"/>
    <w:rsid w:val="00842B00"/>
    <w:rsid w:val="008436E3"/>
    <w:rsid w:val="00850A9B"/>
    <w:rsid w:val="00854235"/>
    <w:rsid w:val="008542B0"/>
    <w:rsid w:val="00855A28"/>
    <w:rsid w:val="00857076"/>
    <w:rsid w:val="00863ECA"/>
    <w:rsid w:val="00866C8D"/>
    <w:rsid w:val="0088376F"/>
    <w:rsid w:val="00884275"/>
    <w:rsid w:val="00884D07"/>
    <w:rsid w:val="00884DF7"/>
    <w:rsid w:val="00885B6C"/>
    <w:rsid w:val="00885D4A"/>
    <w:rsid w:val="00886748"/>
    <w:rsid w:val="008872E4"/>
    <w:rsid w:val="0089197B"/>
    <w:rsid w:val="008956D6"/>
    <w:rsid w:val="00895ECF"/>
    <w:rsid w:val="00897791"/>
    <w:rsid w:val="00897B12"/>
    <w:rsid w:val="008A2EC3"/>
    <w:rsid w:val="008A33D0"/>
    <w:rsid w:val="008A5835"/>
    <w:rsid w:val="008A69F0"/>
    <w:rsid w:val="008A7C6C"/>
    <w:rsid w:val="008B1752"/>
    <w:rsid w:val="008C0C94"/>
    <w:rsid w:val="008C2489"/>
    <w:rsid w:val="008C2CCF"/>
    <w:rsid w:val="008C32B6"/>
    <w:rsid w:val="008C44F8"/>
    <w:rsid w:val="008C4975"/>
    <w:rsid w:val="008C7539"/>
    <w:rsid w:val="008D01D3"/>
    <w:rsid w:val="008D0C64"/>
    <w:rsid w:val="008D2242"/>
    <w:rsid w:val="008D23C2"/>
    <w:rsid w:val="008D31AD"/>
    <w:rsid w:val="008D416D"/>
    <w:rsid w:val="008D4711"/>
    <w:rsid w:val="008D5244"/>
    <w:rsid w:val="008D662E"/>
    <w:rsid w:val="008E0F2F"/>
    <w:rsid w:val="008E25E4"/>
    <w:rsid w:val="008E446A"/>
    <w:rsid w:val="008E4581"/>
    <w:rsid w:val="008F31B9"/>
    <w:rsid w:val="008F3378"/>
    <w:rsid w:val="009011B9"/>
    <w:rsid w:val="00901E1D"/>
    <w:rsid w:val="00904BFC"/>
    <w:rsid w:val="00906170"/>
    <w:rsid w:val="009122D3"/>
    <w:rsid w:val="009139AE"/>
    <w:rsid w:val="00915943"/>
    <w:rsid w:val="0091686B"/>
    <w:rsid w:val="00916F96"/>
    <w:rsid w:val="00921905"/>
    <w:rsid w:val="00922788"/>
    <w:rsid w:val="0092686A"/>
    <w:rsid w:val="0093032B"/>
    <w:rsid w:val="00930802"/>
    <w:rsid w:val="009342BB"/>
    <w:rsid w:val="009362FE"/>
    <w:rsid w:val="009430C8"/>
    <w:rsid w:val="009443AC"/>
    <w:rsid w:val="00945EA6"/>
    <w:rsid w:val="00946791"/>
    <w:rsid w:val="00946BA0"/>
    <w:rsid w:val="009501C3"/>
    <w:rsid w:val="009507C7"/>
    <w:rsid w:val="00950EA6"/>
    <w:rsid w:val="00952E39"/>
    <w:rsid w:val="00954C98"/>
    <w:rsid w:val="0096500D"/>
    <w:rsid w:val="00966644"/>
    <w:rsid w:val="00970908"/>
    <w:rsid w:val="009714D2"/>
    <w:rsid w:val="00972493"/>
    <w:rsid w:val="009725EF"/>
    <w:rsid w:val="0097297A"/>
    <w:rsid w:val="0097325E"/>
    <w:rsid w:val="00975AD5"/>
    <w:rsid w:val="00980612"/>
    <w:rsid w:val="009865E0"/>
    <w:rsid w:val="0099013C"/>
    <w:rsid w:val="00990505"/>
    <w:rsid w:val="0099192A"/>
    <w:rsid w:val="009949F0"/>
    <w:rsid w:val="009953AD"/>
    <w:rsid w:val="00996D89"/>
    <w:rsid w:val="009A36A2"/>
    <w:rsid w:val="009A56C1"/>
    <w:rsid w:val="009B150E"/>
    <w:rsid w:val="009B1E48"/>
    <w:rsid w:val="009B2921"/>
    <w:rsid w:val="009B35BD"/>
    <w:rsid w:val="009B5E87"/>
    <w:rsid w:val="009B6242"/>
    <w:rsid w:val="009B75AD"/>
    <w:rsid w:val="009C305F"/>
    <w:rsid w:val="009C477E"/>
    <w:rsid w:val="009C6F3A"/>
    <w:rsid w:val="009D0545"/>
    <w:rsid w:val="009D18C1"/>
    <w:rsid w:val="009D3AF0"/>
    <w:rsid w:val="009D49E4"/>
    <w:rsid w:val="009D5D05"/>
    <w:rsid w:val="009E064A"/>
    <w:rsid w:val="009E125C"/>
    <w:rsid w:val="009E147E"/>
    <w:rsid w:val="009E27F7"/>
    <w:rsid w:val="009E4879"/>
    <w:rsid w:val="009E5DFC"/>
    <w:rsid w:val="009F0E2E"/>
    <w:rsid w:val="009F262F"/>
    <w:rsid w:val="009F54A1"/>
    <w:rsid w:val="00A00069"/>
    <w:rsid w:val="00A01B04"/>
    <w:rsid w:val="00A03300"/>
    <w:rsid w:val="00A03B25"/>
    <w:rsid w:val="00A04827"/>
    <w:rsid w:val="00A05276"/>
    <w:rsid w:val="00A05472"/>
    <w:rsid w:val="00A05E20"/>
    <w:rsid w:val="00A1628D"/>
    <w:rsid w:val="00A202A0"/>
    <w:rsid w:val="00A22855"/>
    <w:rsid w:val="00A237F6"/>
    <w:rsid w:val="00A26430"/>
    <w:rsid w:val="00A26B26"/>
    <w:rsid w:val="00A31608"/>
    <w:rsid w:val="00A35D1D"/>
    <w:rsid w:val="00A36699"/>
    <w:rsid w:val="00A41340"/>
    <w:rsid w:val="00A417C5"/>
    <w:rsid w:val="00A43D5C"/>
    <w:rsid w:val="00A47AA3"/>
    <w:rsid w:val="00A50827"/>
    <w:rsid w:val="00A54472"/>
    <w:rsid w:val="00A5469B"/>
    <w:rsid w:val="00A55212"/>
    <w:rsid w:val="00A6002A"/>
    <w:rsid w:val="00A600DF"/>
    <w:rsid w:val="00A601EC"/>
    <w:rsid w:val="00A60FC3"/>
    <w:rsid w:val="00A70361"/>
    <w:rsid w:val="00A7529E"/>
    <w:rsid w:val="00A758F4"/>
    <w:rsid w:val="00A76826"/>
    <w:rsid w:val="00A82922"/>
    <w:rsid w:val="00A8701A"/>
    <w:rsid w:val="00A87E4C"/>
    <w:rsid w:val="00A92867"/>
    <w:rsid w:val="00A9684E"/>
    <w:rsid w:val="00A969A7"/>
    <w:rsid w:val="00A96D1C"/>
    <w:rsid w:val="00A97B3A"/>
    <w:rsid w:val="00AA18C9"/>
    <w:rsid w:val="00AB1029"/>
    <w:rsid w:val="00AB2906"/>
    <w:rsid w:val="00AB3169"/>
    <w:rsid w:val="00AB37AF"/>
    <w:rsid w:val="00AB4B5B"/>
    <w:rsid w:val="00AB4F7A"/>
    <w:rsid w:val="00AB71B9"/>
    <w:rsid w:val="00AB7E5B"/>
    <w:rsid w:val="00AC19B9"/>
    <w:rsid w:val="00AC1C89"/>
    <w:rsid w:val="00AD1577"/>
    <w:rsid w:val="00AD214E"/>
    <w:rsid w:val="00AD4DFC"/>
    <w:rsid w:val="00AD65BF"/>
    <w:rsid w:val="00AE0C4E"/>
    <w:rsid w:val="00AE0F8C"/>
    <w:rsid w:val="00AE2BB1"/>
    <w:rsid w:val="00AE30EE"/>
    <w:rsid w:val="00AE515B"/>
    <w:rsid w:val="00AE6073"/>
    <w:rsid w:val="00AF12A6"/>
    <w:rsid w:val="00AF2EC5"/>
    <w:rsid w:val="00AF4722"/>
    <w:rsid w:val="00AF477D"/>
    <w:rsid w:val="00AF5FD2"/>
    <w:rsid w:val="00B0583D"/>
    <w:rsid w:val="00B05E68"/>
    <w:rsid w:val="00B06B1C"/>
    <w:rsid w:val="00B070AE"/>
    <w:rsid w:val="00B1003D"/>
    <w:rsid w:val="00B120BA"/>
    <w:rsid w:val="00B12BEF"/>
    <w:rsid w:val="00B147CE"/>
    <w:rsid w:val="00B164B6"/>
    <w:rsid w:val="00B1739F"/>
    <w:rsid w:val="00B17C75"/>
    <w:rsid w:val="00B214CC"/>
    <w:rsid w:val="00B21C55"/>
    <w:rsid w:val="00B24217"/>
    <w:rsid w:val="00B252E5"/>
    <w:rsid w:val="00B26255"/>
    <w:rsid w:val="00B276CD"/>
    <w:rsid w:val="00B30392"/>
    <w:rsid w:val="00B31046"/>
    <w:rsid w:val="00B31E9E"/>
    <w:rsid w:val="00B34682"/>
    <w:rsid w:val="00B3546C"/>
    <w:rsid w:val="00B36660"/>
    <w:rsid w:val="00B37D93"/>
    <w:rsid w:val="00B40129"/>
    <w:rsid w:val="00B407B0"/>
    <w:rsid w:val="00B4208C"/>
    <w:rsid w:val="00B435FC"/>
    <w:rsid w:val="00B4431C"/>
    <w:rsid w:val="00B502C2"/>
    <w:rsid w:val="00B51706"/>
    <w:rsid w:val="00B55560"/>
    <w:rsid w:val="00B55D58"/>
    <w:rsid w:val="00B658B1"/>
    <w:rsid w:val="00B65AF2"/>
    <w:rsid w:val="00B66041"/>
    <w:rsid w:val="00B75AD1"/>
    <w:rsid w:val="00B77982"/>
    <w:rsid w:val="00B77F53"/>
    <w:rsid w:val="00B8023E"/>
    <w:rsid w:val="00B808CA"/>
    <w:rsid w:val="00B91664"/>
    <w:rsid w:val="00B931CB"/>
    <w:rsid w:val="00B96A42"/>
    <w:rsid w:val="00BA46D9"/>
    <w:rsid w:val="00BB608E"/>
    <w:rsid w:val="00BB6B0B"/>
    <w:rsid w:val="00BB7D8A"/>
    <w:rsid w:val="00BC1265"/>
    <w:rsid w:val="00BC1D43"/>
    <w:rsid w:val="00BC48AD"/>
    <w:rsid w:val="00BC4F53"/>
    <w:rsid w:val="00BC5099"/>
    <w:rsid w:val="00BC6805"/>
    <w:rsid w:val="00BC783D"/>
    <w:rsid w:val="00BD14B5"/>
    <w:rsid w:val="00BD1C89"/>
    <w:rsid w:val="00BD404B"/>
    <w:rsid w:val="00BD63F5"/>
    <w:rsid w:val="00BD640D"/>
    <w:rsid w:val="00BE0823"/>
    <w:rsid w:val="00BE16CD"/>
    <w:rsid w:val="00BE3E5B"/>
    <w:rsid w:val="00BF22E2"/>
    <w:rsid w:val="00BF2768"/>
    <w:rsid w:val="00BF302E"/>
    <w:rsid w:val="00BF3259"/>
    <w:rsid w:val="00BF3879"/>
    <w:rsid w:val="00BF4A05"/>
    <w:rsid w:val="00BF4D28"/>
    <w:rsid w:val="00BF76BC"/>
    <w:rsid w:val="00C00885"/>
    <w:rsid w:val="00C02561"/>
    <w:rsid w:val="00C05C54"/>
    <w:rsid w:val="00C063A8"/>
    <w:rsid w:val="00C0716F"/>
    <w:rsid w:val="00C0753E"/>
    <w:rsid w:val="00C127BD"/>
    <w:rsid w:val="00C133F3"/>
    <w:rsid w:val="00C161F4"/>
    <w:rsid w:val="00C16557"/>
    <w:rsid w:val="00C17B0A"/>
    <w:rsid w:val="00C24EAF"/>
    <w:rsid w:val="00C25827"/>
    <w:rsid w:val="00C26448"/>
    <w:rsid w:val="00C30959"/>
    <w:rsid w:val="00C32C9B"/>
    <w:rsid w:val="00C403A9"/>
    <w:rsid w:val="00C41A11"/>
    <w:rsid w:val="00C42EDF"/>
    <w:rsid w:val="00C502B5"/>
    <w:rsid w:val="00C50FD6"/>
    <w:rsid w:val="00C5170F"/>
    <w:rsid w:val="00C53F90"/>
    <w:rsid w:val="00C573BE"/>
    <w:rsid w:val="00C60DC2"/>
    <w:rsid w:val="00C60E65"/>
    <w:rsid w:val="00C613E1"/>
    <w:rsid w:val="00C6329C"/>
    <w:rsid w:val="00C63DB9"/>
    <w:rsid w:val="00C67F69"/>
    <w:rsid w:val="00C7093C"/>
    <w:rsid w:val="00C70C4B"/>
    <w:rsid w:val="00C71494"/>
    <w:rsid w:val="00C71F4A"/>
    <w:rsid w:val="00C744EB"/>
    <w:rsid w:val="00C87A91"/>
    <w:rsid w:val="00C917B2"/>
    <w:rsid w:val="00C91A27"/>
    <w:rsid w:val="00C9306A"/>
    <w:rsid w:val="00C93213"/>
    <w:rsid w:val="00C9529A"/>
    <w:rsid w:val="00C9590E"/>
    <w:rsid w:val="00CA19AA"/>
    <w:rsid w:val="00CA6275"/>
    <w:rsid w:val="00CA74FC"/>
    <w:rsid w:val="00CB2349"/>
    <w:rsid w:val="00CB3355"/>
    <w:rsid w:val="00CB435E"/>
    <w:rsid w:val="00CB576C"/>
    <w:rsid w:val="00CB58B1"/>
    <w:rsid w:val="00CB5DFA"/>
    <w:rsid w:val="00CC103D"/>
    <w:rsid w:val="00CC1D64"/>
    <w:rsid w:val="00CC2CF8"/>
    <w:rsid w:val="00CC3B2D"/>
    <w:rsid w:val="00CC3D98"/>
    <w:rsid w:val="00CD2F45"/>
    <w:rsid w:val="00CD30D7"/>
    <w:rsid w:val="00CD3E29"/>
    <w:rsid w:val="00CD4E91"/>
    <w:rsid w:val="00CE083A"/>
    <w:rsid w:val="00CE468E"/>
    <w:rsid w:val="00CE47B5"/>
    <w:rsid w:val="00CE7394"/>
    <w:rsid w:val="00CF13B3"/>
    <w:rsid w:val="00CF5A84"/>
    <w:rsid w:val="00D00006"/>
    <w:rsid w:val="00D03EB4"/>
    <w:rsid w:val="00D049E9"/>
    <w:rsid w:val="00D1195F"/>
    <w:rsid w:val="00D135DA"/>
    <w:rsid w:val="00D13931"/>
    <w:rsid w:val="00D14803"/>
    <w:rsid w:val="00D17ECB"/>
    <w:rsid w:val="00D20086"/>
    <w:rsid w:val="00D214CC"/>
    <w:rsid w:val="00D22000"/>
    <w:rsid w:val="00D25A49"/>
    <w:rsid w:val="00D26A85"/>
    <w:rsid w:val="00D31480"/>
    <w:rsid w:val="00D335D5"/>
    <w:rsid w:val="00D33A77"/>
    <w:rsid w:val="00D347F7"/>
    <w:rsid w:val="00D348F3"/>
    <w:rsid w:val="00D4027C"/>
    <w:rsid w:val="00D4433E"/>
    <w:rsid w:val="00D447C3"/>
    <w:rsid w:val="00D4551F"/>
    <w:rsid w:val="00D4653C"/>
    <w:rsid w:val="00D46E18"/>
    <w:rsid w:val="00D55182"/>
    <w:rsid w:val="00D573B8"/>
    <w:rsid w:val="00D614E1"/>
    <w:rsid w:val="00D61C55"/>
    <w:rsid w:val="00D61E4D"/>
    <w:rsid w:val="00D64B63"/>
    <w:rsid w:val="00D655C4"/>
    <w:rsid w:val="00D66D18"/>
    <w:rsid w:val="00D71008"/>
    <w:rsid w:val="00D729BA"/>
    <w:rsid w:val="00D74975"/>
    <w:rsid w:val="00D75EB2"/>
    <w:rsid w:val="00D765CC"/>
    <w:rsid w:val="00D778DF"/>
    <w:rsid w:val="00D823B6"/>
    <w:rsid w:val="00D85648"/>
    <w:rsid w:val="00D85EAA"/>
    <w:rsid w:val="00D87419"/>
    <w:rsid w:val="00D90E65"/>
    <w:rsid w:val="00D91B96"/>
    <w:rsid w:val="00D9457D"/>
    <w:rsid w:val="00D95807"/>
    <w:rsid w:val="00D9768D"/>
    <w:rsid w:val="00DA1827"/>
    <w:rsid w:val="00DA1F1B"/>
    <w:rsid w:val="00DA306E"/>
    <w:rsid w:val="00DA5C4C"/>
    <w:rsid w:val="00DA5DAA"/>
    <w:rsid w:val="00DB2B0D"/>
    <w:rsid w:val="00DB30AE"/>
    <w:rsid w:val="00DB37A7"/>
    <w:rsid w:val="00DB460B"/>
    <w:rsid w:val="00DB76D1"/>
    <w:rsid w:val="00DB7B63"/>
    <w:rsid w:val="00DC1F09"/>
    <w:rsid w:val="00DC429A"/>
    <w:rsid w:val="00DD2BAD"/>
    <w:rsid w:val="00DD2C9C"/>
    <w:rsid w:val="00DD5666"/>
    <w:rsid w:val="00DE6FC8"/>
    <w:rsid w:val="00DF5B47"/>
    <w:rsid w:val="00E07BF6"/>
    <w:rsid w:val="00E11065"/>
    <w:rsid w:val="00E15C92"/>
    <w:rsid w:val="00E16DA2"/>
    <w:rsid w:val="00E20488"/>
    <w:rsid w:val="00E21995"/>
    <w:rsid w:val="00E21D79"/>
    <w:rsid w:val="00E223DB"/>
    <w:rsid w:val="00E22825"/>
    <w:rsid w:val="00E2359B"/>
    <w:rsid w:val="00E24851"/>
    <w:rsid w:val="00E330AD"/>
    <w:rsid w:val="00E36D7C"/>
    <w:rsid w:val="00E40485"/>
    <w:rsid w:val="00E43E36"/>
    <w:rsid w:val="00E471E4"/>
    <w:rsid w:val="00E47FF0"/>
    <w:rsid w:val="00E529AB"/>
    <w:rsid w:val="00E530D9"/>
    <w:rsid w:val="00E5416D"/>
    <w:rsid w:val="00E54E23"/>
    <w:rsid w:val="00E55135"/>
    <w:rsid w:val="00E554C2"/>
    <w:rsid w:val="00E6003C"/>
    <w:rsid w:val="00E60427"/>
    <w:rsid w:val="00E60575"/>
    <w:rsid w:val="00E60E5A"/>
    <w:rsid w:val="00E62AB4"/>
    <w:rsid w:val="00E6304C"/>
    <w:rsid w:val="00E6492B"/>
    <w:rsid w:val="00E651A3"/>
    <w:rsid w:val="00E66073"/>
    <w:rsid w:val="00E6744A"/>
    <w:rsid w:val="00E709CF"/>
    <w:rsid w:val="00E71168"/>
    <w:rsid w:val="00E71874"/>
    <w:rsid w:val="00E72106"/>
    <w:rsid w:val="00E726EE"/>
    <w:rsid w:val="00E72C81"/>
    <w:rsid w:val="00E7329E"/>
    <w:rsid w:val="00E742D9"/>
    <w:rsid w:val="00E74320"/>
    <w:rsid w:val="00E77DD6"/>
    <w:rsid w:val="00E80161"/>
    <w:rsid w:val="00E80619"/>
    <w:rsid w:val="00E80E54"/>
    <w:rsid w:val="00E81338"/>
    <w:rsid w:val="00E81601"/>
    <w:rsid w:val="00E8175A"/>
    <w:rsid w:val="00E847C3"/>
    <w:rsid w:val="00E85432"/>
    <w:rsid w:val="00E85FCF"/>
    <w:rsid w:val="00E87867"/>
    <w:rsid w:val="00E87DED"/>
    <w:rsid w:val="00E90315"/>
    <w:rsid w:val="00E93932"/>
    <w:rsid w:val="00E97385"/>
    <w:rsid w:val="00E975FA"/>
    <w:rsid w:val="00EA06A5"/>
    <w:rsid w:val="00EA2DB1"/>
    <w:rsid w:val="00EA30C1"/>
    <w:rsid w:val="00EB18C3"/>
    <w:rsid w:val="00EB4AED"/>
    <w:rsid w:val="00EB5811"/>
    <w:rsid w:val="00EB7714"/>
    <w:rsid w:val="00EC162A"/>
    <w:rsid w:val="00EC195B"/>
    <w:rsid w:val="00EC1BBC"/>
    <w:rsid w:val="00EC1D68"/>
    <w:rsid w:val="00EC1EBE"/>
    <w:rsid w:val="00EC34BC"/>
    <w:rsid w:val="00EC64AC"/>
    <w:rsid w:val="00ED02BF"/>
    <w:rsid w:val="00ED09F2"/>
    <w:rsid w:val="00ED1858"/>
    <w:rsid w:val="00ED5D0D"/>
    <w:rsid w:val="00EE36F3"/>
    <w:rsid w:val="00EE3B84"/>
    <w:rsid w:val="00EE3D33"/>
    <w:rsid w:val="00EE4732"/>
    <w:rsid w:val="00EE7459"/>
    <w:rsid w:val="00EE79F9"/>
    <w:rsid w:val="00EF54BB"/>
    <w:rsid w:val="00F00716"/>
    <w:rsid w:val="00F00B07"/>
    <w:rsid w:val="00F02030"/>
    <w:rsid w:val="00F05A65"/>
    <w:rsid w:val="00F05C5C"/>
    <w:rsid w:val="00F06523"/>
    <w:rsid w:val="00F07E5D"/>
    <w:rsid w:val="00F130D6"/>
    <w:rsid w:val="00F16588"/>
    <w:rsid w:val="00F20917"/>
    <w:rsid w:val="00F21753"/>
    <w:rsid w:val="00F23A3B"/>
    <w:rsid w:val="00F23C49"/>
    <w:rsid w:val="00F27705"/>
    <w:rsid w:val="00F33665"/>
    <w:rsid w:val="00F348B8"/>
    <w:rsid w:val="00F37857"/>
    <w:rsid w:val="00F404B4"/>
    <w:rsid w:val="00F40610"/>
    <w:rsid w:val="00F43DA8"/>
    <w:rsid w:val="00F52D8E"/>
    <w:rsid w:val="00F54343"/>
    <w:rsid w:val="00F556E6"/>
    <w:rsid w:val="00F5748D"/>
    <w:rsid w:val="00F57836"/>
    <w:rsid w:val="00F6144D"/>
    <w:rsid w:val="00F63998"/>
    <w:rsid w:val="00F63A80"/>
    <w:rsid w:val="00F66730"/>
    <w:rsid w:val="00F67F67"/>
    <w:rsid w:val="00F70143"/>
    <w:rsid w:val="00F70D25"/>
    <w:rsid w:val="00F71C8F"/>
    <w:rsid w:val="00F75A97"/>
    <w:rsid w:val="00F76554"/>
    <w:rsid w:val="00F8083F"/>
    <w:rsid w:val="00F81C42"/>
    <w:rsid w:val="00F84034"/>
    <w:rsid w:val="00F852ED"/>
    <w:rsid w:val="00F8543B"/>
    <w:rsid w:val="00F877B3"/>
    <w:rsid w:val="00F93EC2"/>
    <w:rsid w:val="00F964B2"/>
    <w:rsid w:val="00F9698C"/>
    <w:rsid w:val="00FA050D"/>
    <w:rsid w:val="00FA161F"/>
    <w:rsid w:val="00FA23FD"/>
    <w:rsid w:val="00FA264E"/>
    <w:rsid w:val="00FA5782"/>
    <w:rsid w:val="00FA78FC"/>
    <w:rsid w:val="00FB2075"/>
    <w:rsid w:val="00FB2589"/>
    <w:rsid w:val="00FB2CB2"/>
    <w:rsid w:val="00FB68F8"/>
    <w:rsid w:val="00FB6B0F"/>
    <w:rsid w:val="00FC076A"/>
    <w:rsid w:val="00FC30DB"/>
    <w:rsid w:val="00FC395E"/>
    <w:rsid w:val="00FC4111"/>
    <w:rsid w:val="00FD42DF"/>
    <w:rsid w:val="00FE1E12"/>
    <w:rsid w:val="00FE416D"/>
    <w:rsid w:val="00FE5515"/>
    <w:rsid w:val="00FE60B6"/>
    <w:rsid w:val="00FF0945"/>
    <w:rsid w:val="00FF205A"/>
    <w:rsid w:val="00FF3AE0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C4EDBD50-E635-4D51-8ADA-F7A78C6E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blok 1"/>
    <w:qFormat/>
    <w:rsid w:val="005370CF"/>
    <w:pPr>
      <w:spacing w:before="200" w:after="100"/>
      <w:jc w:val="both"/>
    </w:pPr>
    <w:rPr>
      <w:sz w:val="22"/>
      <w:szCs w:val="22"/>
      <w:lang w:eastAsia="en-US"/>
    </w:rPr>
  </w:style>
  <w:style w:type="paragraph" w:styleId="Nadpis1">
    <w:name w:val="heading 1"/>
    <w:basedOn w:val="Blok1"/>
    <w:next w:val="Normln"/>
    <w:link w:val="Nadpis1Char"/>
    <w:uiPriority w:val="99"/>
    <w:qFormat/>
    <w:rsid w:val="001D528D"/>
    <w:pPr>
      <w:numPr>
        <w:numId w:val="1"/>
      </w:numPr>
      <w:spacing w:before="360" w:after="0"/>
      <w:contextualSpacing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Blok1"/>
    <w:link w:val="Nadpis2Char"/>
    <w:uiPriority w:val="99"/>
    <w:qFormat/>
    <w:rsid w:val="001D528D"/>
    <w:pPr>
      <w:keepNext/>
      <w:numPr>
        <w:ilvl w:val="1"/>
        <w:numId w:val="1"/>
      </w:numPr>
      <w:spacing w:after="0"/>
      <w:ind w:left="578" w:hanging="578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next w:val="Blok1"/>
    <w:link w:val="Nadpis3Char"/>
    <w:uiPriority w:val="99"/>
    <w:qFormat/>
    <w:rsid w:val="001D528D"/>
    <w:pPr>
      <w:spacing w:after="0" w:line="271" w:lineRule="auto"/>
      <w:outlineLvl w:val="2"/>
    </w:pPr>
    <w:rPr>
      <w:b/>
      <w:bCs/>
    </w:rPr>
  </w:style>
  <w:style w:type="paragraph" w:styleId="Nadpis4">
    <w:name w:val="heading 4"/>
    <w:basedOn w:val="Normln"/>
    <w:next w:val="Blok1"/>
    <w:link w:val="Nadpis4Char"/>
    <w:uiPriority w:val="99"/>
    <w:qFormat/>
    <w:rsid w:val="001D528D"/>
    <w:pPr>
      <w:spacing w:after="0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6A5"/>
    <w:pPr>
      <w:numPr>
        <w:ilvl w:val="4"/>
        <w:numId w:val="1"/>
      </w:numPr>
      <w:spacing w:after="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6A5"/>
    <w:pPr>
      <w:numPr>
        <w:ilvl w:val="5"/>
        <w:numId w:val="1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6A5"/>
    <w:pPr>
      <w:numPr>
        <w:ilvl w:val="6"/>
        <w:numId w:val="1"/>
      </w:numPr>
      <w:spacing w:after="0"/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6A5"/>
    <w:pPr>
      <w:numPr>
        <w:ilvl w:val="7"/>
        <w:numId w:val="1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6A5"/>
    <w:pPr>
      <w:numPr>
        <w:ilvl w:val="8"/>
        <w:numId w:val="1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D528D"/>
    <w:rPr>
      <w:rFonts w:ascii="Calibri" w:hAnsi="Calibri" w:cs="Times New Roman"/>
      <w:b/>
      <w:bCs/>
      <w:sz w:val="28"/>
      <w:szCs w:val="28"/>
      <w:lang w:val="cs-CZ" w:eastAsia="en-US" w:bidi="ar-SA"/>
    </w:rPr>
  </w:style>
  <w:style w:type="character" w:customStyle="1" w:styleId="Nadpis2Char">
    <w:name w:val="Nadpis 2 Char"/>
    <w:link w:val="Nadpis2"/>
    <w:uiPriority w:val="99"/>
    <w:locked/>
    <w:rsid w:val="001D528D"/>
    <w:rPr>
      <w:rFonts w:ascii="Calibri" w:hAnsi="Calibri" w:cs="Times New Roman"/>
      <w:b/>
      <w:bCs/>
      <w:sz w:val="26"/>
      <w:szCs w:val="26"/>
      <w:lang w:val="cs-CZ" w:eastAsia="en-US" w:bidi="ar-SA"/>
    </w:rPr>
  </w:style>
  <w:style w:type="character" w:customStyle="1" w:styleId="Nadpis3Char">
    <w:name w:val="Nadpis 3 Char"/>
    <w:link w:val="Nadpis3"/>
    <w:uiPriority w:val="99"/>
    <w:locked/>
    <w:rsid w:val="001D528D"/>
    <w:rPr>
      <w:rFonts w:ascii="Calibri" w:hAnsi="Calibri" w:cs="Times New Roman"/>
      <w:b/>
      <w:bCs/>
      <w:sz w:val="22"/>
      <w:szCs w:val="22"/>
      <w:lang w:val="cs-CZ" w:eastAsia="en-US" w:bidi="ar-SA"/>
    </w:rPr>
  </w:style>
  <w:style w:type="character" w:customStyle="1" w:styleId="Nadpis4Char">
    <w:name w:val="Nadpis 4 Char"/>
    <w:link w:val="Nadpis4"/>
    <w:uiPriority w:val="99"/>
    <w:locked/>
    <w:rsid w:val="001D528D"/>
    <w:rPr>
      <w:rFonts w:ascii="Calibri" w:hAnsi="Calibri" w:cs="Times New Roman"/>
      <w:b/>
      <w:bCs/>
      <w:i/>
      <w:iCs/>
      <w:sz w:val="22"/>
      <w:szCs w:val="22"/>
      <w:lang w:val="cs-CZ" w:eastAsia="en-US" w:bidi="ar-SA"/>
    </w:rPr>
  </w:style>
  <w:style w:type="character" w:customStyle="1" w:styleId="Nadpis5Char">
    <w:name w:val="Nadpis 5 Char"/>
    <w:link w:val="Nadpis5"/>
    <w:uiPriority w:val="99"/>
    <w:locked/>
    <w:rsid w:val="00EA06A5"/>
    <w:rPr>
      <w:rFonts w:ascii="Cambria" w:hAnsi="Cambria" w:cs="Times New Roman"/>
      <w:b/>
      <w:bCs/>
      <w:color w:val="7F7F7F"/>
      <w:lang w:eastAsia="en-US"/>
    </w:rPr>
  </w:style>
  <w:style w:type="character" w:customStyle="1" w:styleId="Nadpis6Char">
    <w:name w:val="Nadpis 6 Char"/>
    <w:link w:val="Nadpis6"/>
    <w:uiPriority w:val="99"/>
    <w:locked/>
    <w:rsid w:val="00EA06A5"/>
    <w:rPr>
      <w:rFonts w:ascii="Cambria" w:hAnsi="Cambria" w:cs="Times New Roman"/>
      <w:b/>
      <w:bCs/>
      <w:i/>
      <w:iCs/>
      <w:color w:val="7F7F7F"/>
      <w:lang w:eastAsia="en-US"/>
    </w:rPr>
  </w:style>
  <w:style w:type="character" w:customStyle="1" w:styleId="Nadpis7Char">
    <w:name w:val="Nadpis 7 Char"/>
    <w:link w:val="Nadpis7"/>
    <w:uiPriority w:val="99"/>
    <w:locked/>
    <w:rsid w:val="00EA06A5"/>
    <w:rPr>
      <w:rFonts w:ascii="Cambria" w:hAnsi="Cambria" w:cs="Times New Roman"/>
      <w:i/>
      <w:iCs/>
      <w:lang w:eastAsia="en-US"/>
    </w:rPr>
  </w:style>
  <w:style w:type="character" w:customStyle="1" w:styleId="Nadpis8Char">
    <w:name w:val="Nadpis 8 Char"/>
    <w:link w:val="Nadpis8"/>
    <w:uiPriority w:val="99"/>
    <w:locked/>
    <w:rsid w:val="00EA06A5"/>
    <w:rPr>
      <w:rFonts w:ascii="Cambria" w:hAnsi="Cambria" w:cs="Times New Roman"/>
      <w:sz w:val="20"/>
      <w:szCs w:val="20"/>
      <w:lang w:eastAsia="en-US"/>
    </w:rPr>
  </w:style>
  <w:style w:type="character" w:customStyle="1" w:styleId="Nadpis9Char">
    <w:name w:val="Nadpis 9 Char"/>
    <w:link w:val="Nadpis9"/>
    <w:uiPriority w:val="99"/>
    <w:locked/>
    <w:rsid w:val="00EA06A5"/>
    <w:rPr>
      <w:rFonts w:ascii="Cambria" w:hAnsi="Cambria" w:cs="Times New Roman"/>
      <w:i/>
      <w:iCs/>
      <w:spacing w:val="5"/>
      <w:sz w:val="20"/>
      <w:szCs w:val="20"/>
      <w:lang w:eastAsia="en-US"/>
    </w:rPr>
  </w:style>
  <w:style w:type="paragraph" w:customStyle="1" w:styleId="MDSR">
    <w:name w:val="MDS ČR"/>
    <w:basedOn w:val="Normln"/>
    <w:link w:val="MDSRChar"/>
    <w:uiPriority w:val="99"/>
    <w:rsid w:val="004607DA"/>
  </w:style>
  <w:style w:type="paragraph" w:styleId="FormtovanvHTML">
    <w:name w:val="HTML Preformatted"/>
    <w:basedOn w:val="Normln"/>
    <w:link w:val="FormtovanvHTMLChar"/>
    <w:uiPriority w:val="99"/>
    <w:rsid w:val="00653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CB3355"/>
    <w:rPr>
      <w:rFonts w:ascii="Courier New" w:hAnsi="Courier New" w:cs="Courier New"/>
      <w:sz w:val="20"/>
      <w:szCs w:val="20"/>
    </w:rPr>
  </w:style>
  <w:style w:type="character" w:styleId="Hypertextovodkaz">
    <w:name w:val="Hyperlink"/>
    <w:uiPriority w:val="99"/>
    <w:rsid w:val="00653169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177FE4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CB3355"/>
    <w:rPr>
      <w:rFonts w:cs="Times New Roman"/>
      <w:sz w:val="20"/>
      <w:szCs w:val="20"/>
    </w:rPr>
  </w:style>
  <w:style w:type="character" w:styleId="Znakapoznpodarou">
    <w:name w:val="footnote reference"/>
    <w:semiHidden/>
    <w:rsid w:val="00177FE4"/>
    <w:rPr>
      <w:rFonts w:cs="Times New Roman"/>
      <w:vertAlign w:val="superscript"/>
    </w:rPr>
  </w:style>
  <w:style w:type="paragraph" w:customStyle="1" w:styleId="msolistparagraph0">
    <w:name w:val="msolistparagraph"/>
    <w:basedOn w:val="Normln"/>
    <w:uiPriority w:val="99"/>
    <w:rsid w:val="00525A11"/>
    <w:pPr>
      <w:ind w:left="720"/>
    </w:pPr>
  </w:style>
  <w:style w:type="table" w:styleId="Mkatabulky">
    <w:name w:val="Table Grid"/>
    <w:basedOn w:val="Normlntabulka"/>
    <w:uiPriority w:val="99"/>
    <w:rsid w:val="0043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9B35BD"/>
    <w:pPr>
      <w:spacing w:before="120" w:after="60"/>
      <w:ind w:left="238"/>
    </w:pPr>
  </w:style>
  <w:style w:type="paragraph" w:styleId="Obsah1">
    <w:name w:val="toc 1"/>
    <w:basedOn w:val="Normln"/>
    <w:next w:val="Normln"/>
    <w:autoRedefine/>
    <w:uiPriority w:val="39"/>
    <w:rsid w:val="00090EE7"/>
    <w:pPr>
      <w:tabs>
        <w:tab w:val="left" w:pos="567"/>
        <w:tab w:val="right" w:leader="dot" w:pos="9062"/>
      </w:tabs>
      <w:spacing w:before="120" w:after="60"/>
      <w:ind w:left="567" w:hanging="425"/>
    </w:pPr>
  </w:style>
  <w:style w:type="paragraph" w:styleId="Obsah3">
    <w:name w:val="toc 3"/>
    <w:basedOn w:val="Normln"/>
    <w:next w:val="Normln"/>
    <w:autoRedefine/>
    <w:uiPriority w:val="39"/>
    <w:rsid w:val="00163075"/>
    <w:pPr>
      <w:spacing w:after="60"/>
      <w:ind w:left="482"/>
    </w:pPr>
  </w:style>
  <w:style w:type="paragraph" w:styleId="Textbubliny">
    <w:name w:val="Balloon Text"/>
    <w:basedOn w:val="Bezmezer"/>
    <w:link w:val="TextbublinyChar"/>
    <w:uiPriority w:val="99"/>
    <w:rsid w:val="00842B0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42B00"/>
    <w:rPr>
      <w:rFonts w:ascii="Calibri" w:hAnsi="Calibri" w:cs="Tahoma"/>
      <w:sz w:val="16"/>
      <w:szCs w:val="16"/>
      <w:lang w:eastAsia="en-US"/>
    </w:rPr>
  </w:style>
  <w:style w:type="character" w:styleId="Siln">
    <w:name w:val="Strong"/>
    <w:uiPriority w:val="99"/>
    <w:qFormat/>
    <w:rsid w:val="00EA06A5"/>
    <w:rPr>
      <w:rFonts w:cs="Times New Roman"/>
      <w:b/>
    </w:rPr>
  </w:style>
  <w:style w:type="paragraph" w:styleId="Normlnweb">
    <w:name w:val="Normal (Web)"/>
    <w:basedOn w:val="Normln"/>
    <w:uiPriority w:val="99"/>
    <w:rsid w:val="00CB58B1"/>
    <w:pPr>
      <w:spacing w:before="100" w:beforeAutospacing="1" w:afterAutospacing="1"/>
    </w:pPr>
    <w:rPr>
      <w:lang w:val="en-GB" w:eastAsia="en-GB"/>
    </w:rPr>
  </w:style>
  <w:style w:type="paragraph" w:styleId="Odstavecseseznamem">
    <w:name w:val="List Paragraph"/>
    <w:basedOn w:val="Normln"/>
    <w:uiPriority w:val="34"/>
    <w:qFormat/>
    <w:rsid w:val="00EA06A5"/>
    <w:pPr>
      <w:ind w:left="720"/>
      <w:contextualSpacing/>
    </w:pPr>
  </w:style>
  <w:style w:type="character" w:styleId="Zdraznn">
    <w:name w:val="Emphasis"/>
    <w:aliases w:val="textova okna"/>
    <w:uiPriority w:val="99"/>
    <w:qFormat/>
    <w:rsid w:val="00EA06A5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aliases w:val="blok 2"/>
    <w:basedOn w:val="Blok2"/>
    <w:uiPriority w:val="99"/>
    <w:qFormat/>
    <w:rsid w:val="005370CF"/>
  </w:style>
  <w:style w:type="character" w:styleId="Odkaznakoment">
    <w:name w:val="annotation reference"/>
    <w:uiPriority w:val="99"/>
    <w:semiHidden/>
    <w:rsid w:val="002101B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101BB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E66C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01B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E66CD"/>
    <w:rPr>
      <w:rFonts w:cs="Times New Roman"/>
      <w:b/>
      <w:bCs/>
      <w:sz w:val="20"/>
      <w:szCs w:val="20"/>
    </w:rPr>
  </w:style>
  <w:style w:type="paragraph" w:customStyle="1" w:styleId="MDSRosobn">
    <w:name w:val="MDS ČR osobní"/>
    <w:basedOn w:val="Normln"/>
    <w:uiPriority w:val="99"/>
    <w:rsid w:val="000A0417"/>
    <w:pPr>
      <w:spacing w:before="240" w:line="360" w:lineRule="auto"/>
    </w:pPr>
  </w:style>
  <w:style w:type="paragraph" w:styleId="Rozloendokumentu">
    <w:name w:val="Document Map"/>
    <w:basedOn w:val="Normln"/>
    <w:link w:val="RozloendokumentuChar"/>
    <w:uiPriority w:val="99"/>
    <w:semiHidden/>
    <w:locked/>
    <w:rsid w:val="00B808CA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0753E"/>
    <w:rPr>
      <w:rFonts w:cs="Times New Roman"/>
      <w:sz w:val="2"/>
    </w:rPr>
  </w:style>
  <w:style w:type="paragraph" w:styleId="Podtitul">
    <w:name w:val="Subtitle"/>
    <w:basedOn w:val="Normln"/>
    <w:next w:val="Normln"/>
    <w:link w:val="PodtitulChar"/>
    <w:qFormat/>
    <w:locked/>
    <w:rsid w:val="00F81C42"/>
    <w:pPr>
      <w:spacing w:before="0" w:after="0"/>
    </w:pPr>
    <w:rPr>
      <w:iCs/>
      <w:sz w:val="20"/>
      <w:szCs w:val="24"/>
    </w:rPr>
  </w:style>
  <w:style w:type="character" w:customStyle="1" w:styleId="PodtitulChar">
    <w:name w:val="Podtitul Char"/>
    <w:link w:val="Podtitul"/>
    <w:locked/>
    <w:rsid w:val="00F81C42"/>
    <w:rPr>
      <w:iCs/>
      <w:sz w:val="20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locked/>
    <w:rsid w:val="001D528D"/>
    <w:pPr>
      <w:spacing w:before="1440" w:after="1440"/>
      <w:contextualSpacing/>
      <w:jc w:val="center"/>
    </w:pPr>
    <w:rPr>
      <w:b/>
      <w:spacing w:val="5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1D528D"/>
    <w:rPr>
      <w:rFonts w:ascii="Calibri" w:hAnsi="Calibri" w:cs="Times New Roman"/>
      <w:b/>
      <w:spacing w:val="5"/>
      <w:sz w:val="52"/>
      <w:szCs w:val="52"/>
      <w:lang w:val="cs-CZ" w:eastAsia="en-US" w:bidi="ar-SA"/>
    </w:rPr>
  </w:style>
  <w:style w:type="paragraph" w:styleId="Citt">
    <w:name w:val="Quote"/>
    <w:aliases w:val="FAQ"/>
    <w:basedOn w:val="Blok1"/>
    <w:next w:val="Normln"/>
    <w:link w:val="CittChar"/>
    <w:uiPriority w:val="99"/>
    <w:qFormat/>
    <w:rsid w:val="0054165D"/>
    <w:rPr>
      <w:b/>
    </w:rPr>
  </w:style>
  <w:style w:type="character" w:customStyle="1" w:styleId="CittChar">
    <w:name w:val="Citát Char"/>
    <w:aliases w:val="FAQ Char"/>
    <w:link w:val="Citt"/>
    <w:uiPriority w:val="99"/>
    <w:locked/>
    <w:rsid w:val="0054165D"/>
    <w:rPr>
      <w:rFonts w:cs="Times New Roman"/>
      <w:b/>
      <w:lang w:eastAsia="en-US"/>
    </w:rPr>
  </w:style>
  <w:style w:type="paragraph" w:styleId="Vrazncitt">
    <w:name w:val="Intense Quote"/>
    <w:aliases w:val="tabulka"/>
    <w:basedOn w:val="Normln"/>
    <w:next w:val="Normln"/>
    <w:link w:val="VrazncittChar"/>
    <w:uiPriority w:val="99"/>
    <w:qFormat/>
    <w:rsid w:val="00EE7459"/>
    <w:pPr>
      <w:spacing w:before="0" w:after="60"/>
    </w:pPr>
    <w:rPr>
      <w:sz w:val="21"/>
    </w:rPr>
  </w:style>
  <w:style w:type="character" w:customStyle="1" w:styleId="VrazncittChar">
    <w:name w:val="Výrazný citát Char"/>
    <w:aliases w:val="tabulka Char"/>
    <w:link w:val="Vrazncitt"/>
    <w:uiPriority w:val="99"/>
    <w:locked/>
    <w:rsid w:val="00EE7459"/>
    <w:rPr>
      <w:rFonts w:cs="Times New Roman"/>
      <w:sz w:val="21"/>
      <w:lang w:eastAsia="en-US"/>
    </w:rPr>
  </w:style>
  <w:style w:type="character" w:styleId="Zdraznnjemn">
    <w:name w:val="Subtle Emphasis"/>
    <w:uiPriority w:val="99"/>
    <w:qFormat/>
    <w:rsid w:val="00EA06A5"/>
    <w:rPr>
      <w:rFonts w:cs="Times New Roman"/>
      <w:i/>
    </w:rPr>
  </w:style>
  <w:style w:type="character" w:styleId="Zdraznnintenzivn">
    <w:name w:val="Intense Emphasis"/>
    <w:uiPriority w:val="99"/>
    <w:qFormat/>
    <w:rsid w:val="00EA06A5"/>
    <w:rPr>
      <w:rFonts w:cs="Times New Roman"/>
      <w:b/>
    </w:rPr>
  </w:style>
  <w:style w:type="character" w:styleId="Odkazjemn">
    <w:name w:val="Subtle Reference"/>
    <w:uiPriority w:val="99"/>
    <w:qFormat/>
    <w:rsid w:val="00EA06A5"/>
    <w:rPr>
      <w:rFonts w:cs="Times New Roman"/>
      <w:smallCaps/>
    </w:rPr>
  </w:style>
  <w:style w:type="character" w:styleId="Odkazintenzivn">
    <w:name w:val="Intense Reference"/>
    <w:uiPriority w:val="99"/>
    <w:qFormat/>
    <w:rsid w:val="00EA06A5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1D528D"/>
    <w:rPr>
      <w:rFonts w:ascii="Calibri Light" w:hAnsi="Calibri Light" w:cs="Times New Roman"/>
      <w:b/>
      <w:caps/>
      <w:color w:val="auto"/>
      <w:spacing w:val="0"/>
      <w:w w:val="100"/>
      <w:kern w:val="0"/>
      <w:position w:val="0"/>
      <w:sz w:val="40"/>
      <w:u w:val="none"/>
      <w:vertAlign w:val="baseline"/>
    </w:rPr>
  </w:style>
  <w:style w:type="paragraph" w:styleId="Nadpisobsahu">
    <w:name w:val="TOC Heading"/>
    <w:basedOn w:val="Nadpis1"/>
    <w:next w:val="Normln"/>
    <w:uiPriority w:val="39"/>
    <w:qFormat/>
    <w:rsid w:val="001D528D"/>
    <w:pPr>
      <w:outlineLvl w:val="9"/>
    </w:pPr>
  </w:style>
  <w:style w:type="paragraph" w:styleId="Zhlav">
    <w:name w:val="header"/>
    <w:basedOn w:val="Normln"/>
    <w:link w:val="ZhlavChar"/>
    <w:uiPriority w:val="99"/>
    <w:semiHidden/>
    <w:locked/>
    <w:rsid w:val="00DA1F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DA1F1B"/>
    <w:rPr>
      <w:rFonts w:cs="Times New Roman"/>
      <w:lang w:val="cs-CZ"/>
    </w:rPr>
  </w:style>
  <w:style w:type="paragraph" w:styleId="Zpat">
    <w:name w:val="footer"/>
    <w:basedOn w:val="Normln"/>
    <w:link w:val="ZpatChar"/>
    <w:uiPriority w:val="99"/>
    <w:locked/>
    <w:rsid w:val="00DA1F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A1F1B"/>
    <w:rPr>
      <w:rFonts w:cs="Times New Roman"/>
      <w:lang w:val="cs-CZ"/>
    </w:rPr>
  </w:style>
  <w:style w:type="paragraph" w:customStyle="1" w:styleId="Blok2">
    <w:name w:val="Blok 2"/>
    <w:basedOn w:val="Blok1"/>
    <w:link w:val="Blok2Char"/>
    <w:uiPriority w:val="99"/>
    <w:rsid w:val="008542B0"/>
    <w:pPr>
      <w:spacing w:before="100"/>
    </w:pPr>
  </w:style>
  <w:style w:type="paragraph" w:customStyle="1" w:styleId="Blok1">
    <w:name w:val="Blok 1"/>
    <w:basedOn w:val="Normln"/>
    <w:next w:val="Blok2"/>
    <w:link w:val="Blok1Char"/>
    <w:uiPriority w:val="99"/>
    <w:rsid w:val="00F877B3"/>
    <w:pPr>
      <w:ind w:firstLine="709"/>
    </w:pPr>
  </w:style>
  <w:style w:type="character" w:customStyle="1" w:styleId="footnote">
    <w:name w:val="footnote"/>
    <w:uiPriority w:val="99"/>
    <w:rsid w:val="00615AB2"/>
    <w:rPr>
      <w:rFonts w:cs="Times New Roman"/>
    </w:rPr>
  </w:style>
  <w:style w:type="character" w:styleId="Sledovanodkaz">
    <w:name w:val="FollowedHyperlink"/>
    <w:uiPriority w:val="99"/>
    <w:semiHidden/>
    <w:locked/>
    <w:rsid w:val="00DB76D1"/>
    <w:rPr>
      <w:rFonts w:cs="Times New Roman"/>
      <w:color w:val="800080"/>
      <w:u w:val="single"/>
    </w:rPr>
  </w:style>
  <w:style w:type="character" w:customStyle="1" w:styleId="Blok1Char">
    <w:name w:val="Blok 1 Char"/>
    <w:link w:val="Blok1"/>
    <w:uiPriority w:val="99"/>
    <w:locked/>
    <w:rsid w:val="00F877B3"/>
    <w:rPr>
      <w:sz w:val="22"/>
      <w:szCs w:val="22"/>
      <w:lang w:eastAsia="en-US"/>
    </w:rPr>
  </w:style>
  <w:style w:type="character" w:customStyle="1" w:styleId="Blok2Char">
    <w:name w:val="Blok 2 Char"/>
    <w:link w:val="Blok2"/>
    <w:uiPriority w:val="99"/>
    <w:locked/>
    <w:rsid w:val="001349D0"/>
    <w:rPr>
      <w:rFonts w:ascii="Calibri" w:hAnsi="Calibri" w:cs="Times New Roman"/>
      <w:sz w:val="22"/>
      <w:szCs w:val="22"/>
      <w:lang w:val="cs-CZ" w:eastAsia="en-US" w:bidi="ar-SA"/>
    </w:rPr>
  </w:style>
  <w:style w:type="character" w:styleId="slostrnky">
    <w:name w:val="page number"/>
    <w:uiPriority w:val="99"/>
    <w:locked/>
    <w:rsid w:val="00AD65BF"/>
    <w:rPr>
      <w:rFonts w:cs="Times New Roman"/>
    </w:rPr>
  </w:style>
  <w:style w:type="character" w:customStyle="1" w:styleId="MDSRChar">
    <w:name w:val="MDS ČR Char"/>
    <w:link w:val="MDSR"/>
    <w:uiPriority w:val="99"/>
    <w:locked/>
    <w:rsid w:val="00335941"/>
    <w:rPr>
      <w:rFonts w:ascii="Calibri" w:hAnsi="Calibri" w:cs="Times New Roman"/>
      <w:sz w:val="22"/>
      <w:szCs w:val="22"/>
      <w:lang w:val="cs-CZ" w:eastAsia="en-US" w:bidi="ar-SA"/>
    </w:rPr>
  </w:style>
  <w:style w:type="paragraph" w:styleId="Titulek">
    <w:name w:val="caption"/>
    <w:basedOn w:val="Normln"/>
    <w:next w:val="Normln"/>
    <w:uiPriority w:val="99"/>
    <w:qFormat/>
    <w:rsid w:val="00671663"/>
    <w:rPr>
      <w:b/>
      <w:bCs/>
      <w:sz w:val="20"/>
      <w:szCs w:val="20"/>
    </w:rPr>
  </w:style>
  <w:style w:type="paragraph" w:customStyle="1" w:styleId="StylTitulekzarovnnnasted">
    <w:name w:val="Styl Titulek + zarovnání na střed"/>
    <w:basedOn w:val="Titulek"/>
    <w:uiPriority w:val="99"/>
    <w:rsid w:val="00866C8D"/>
    <w:pPr>
      <w:spacing w:before="100"/>
      <w:jc w:val="center"/>
    </w:pPr>
  </w:style>
  <w:style w:type="paragraph" w:customStyle="1" w:styleId="MDSRPrvndek0cm">
    <w:name w:val="MDS ČR + První řádek:  0 cm"/>
    <w:basedOn w:val="Normln"/>
    <w:rsid w:val="00FB2589"/>
    <w:pPr>
      <w:suppressAutoHyphens/>
      <w:overflowPunct w:val="0"/>
      <w:autoSpaceDE w:val="0"/>
      <w:autoSpaceDN w:val="0"/>
      <w:adjustRightInd w:val="0"/>
      <w:spacing w:before="120" w:after="0"/>
    </w:pPr>
    <w:rPr>
      <w:rFonts w:ascii="Times New Roman" w:hAnsi="Times New Roman"/>
      <w:sz w:val="24"/>
      <w:szCs w:val="20"/>
      <w:lang w:eastAsia="cs-CZ"/>
    </w:rPr>
  </w:style>
  <w:style w:type="character" w:styleId="Zstupntext">
    <w:name w:val="Placeholder Text"/>
    <w:uiPriority w:val="99"/>
    <w:semiHidden/>
    <w:rsid w:val="00FB2589"/>
    <w:rPr>
      <w:color w:val="808080"/>
    </w:rPr>
  </w:style>
  <w:style w:type="table" w:styleId="Prosttabulka2">
    <w:name w:val="Plain Table 2"/>
    <w:basedOn w:val="Normlntabulka"/>
    <w:uiPriority w:val="42"/>
    <w:rsid w:val="00196119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ZZZEsster10B">
    <w:name w:val="ZZZEsster10B"/>
    <w:basedOn w:val="Normln"/>
    <w:rsid w:val="004F0061"/>
    <w:pPr>
      <w:tabs>
        <w:tab w:val="left" w:pos="4962"/>
      </w:tabs>
      <w:overflowPunct w:val="0"/>
      <w:autoSpaceDE w:val="0"/>
      <w:autoSpaceDN w:val="0"/>
      <w:adjustRightInd w:val="0"/>
      <w:spacing w:before="0" w:after="0"/>
      <w:jc w:val="left"/>
    </w:pPr>
    <w:rPr>
      <w:rFonts w:ascii="Times New Roman" w:hAnsi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2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9232-83DC-49B2-A383-79F937D8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Nízkorýchlostní kontrolní vážení  a správní řízení ve věceh přestupků a správních deliktů (skutkové podstaty)</vt:lpstr>
    </vt:vector>
  </TitlesOfParts>
  <Company/>
  <LinksUpToDate>false</LinksUpToDate>
  <CharactersWithSpaces>13692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Nízkorýchlostní kontrolní vážení  a správní řízení ve věceh přestupků a správních deliktů (skutkové podstaty)</dc:title>
  <dc:subject/>
  <dc:creator>Sprinz Zuzana, Mgr.;120;225131245</dc:creator>
  <cp:keywords/>
  <dc:description/>
  <cp:lastModifiedBy>Chládková Jana</cp:lastModifiedBy>
  <cp:revision>2</cp:revision>
  <cp:lastPrinted>2016-10-27T08:46:00Z</cp:lastPrinted>
  <dcterms:created xsi:type="dcterms:W3CDTF">2016-10-27T08:57:00Z</dcterms:created>
  <dcterms:modified xsi:type="dcterms:W3CDTF">2016-10-27T08:57:00Z</dcterms:modified>
</cp:coreProperties>
</file>