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7D" w:rsidRDefault="00887F7D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  <w:bookmarkStart w:id="0" w:name="_GoBack"/>
      <w:bookmarkEnd w:id="0"/>
    </w:p>
    <w:p w:rsidR="005B00C2" w:rsidRDefault="005B00C2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</w:p>
    <w:p w:rsidR="00974C6D" w:rsidRPr="0016444F" w:rsidRDefault="000D7319" w:rsidP="0016444F">
      <w:pPr>
        <w:keepNext/>
        <w:shd w:val="clear" w:color="auto" w:fill="FFFFFF"/>
        <w:spacing w:after="120"/>
      </w:pPr>
      <w:r>
        <w:rPr>
          <w:b/>
          <w:bCs/>
          <w:color w:val="000000"/>
        </w:rPr>
        <w:t xml:space="preserve">   </w:t>
      </w:r>
      <w:r w:rsidR="0032418A">
        <w:rPr>
          <w:b/>
          <w:bCs/>
          <w:color w:val="000000"/>
        </w:rPr>
        <w:t>Ing. Dan Jiránek</w:t>
      </w:r>
    </w:p>
    <w:p w:rsidR="00D73F0F" w:rsidRDefault="000D7319" w:rsidP="0016444F">
      <w:pPr>
        <w:pStyle w:val="Zkladntextodsazen"/>
        <w:tabs>
          <w:tab w:val="center" w:pos="1276"/>
        </w:tabs>
        <w:spacing w:after="120" w:line="240" w:lineRule="auto"/>
        <w:ind w:firstLine="0"/>
        <w:rPr>
          <w:b/>
        </w:rPr>
      </w:pPr>
      <w:r>
        <w:rPr>
          <w:b/>
        </w:rPr>
        <w:t xml:space="preserve">    </w:t>
      </w:r>
      <w:r w:rsidR="00E8264E">
        <w:rPr>
          <w:b/>
        </w:rPr>
        <w:t>výkonný ředitel</w:t>
      </w:r>
    </w:p>
    <w:p w:rsidR="00F63735" w:rsidRDefault="00F63735" w:rsidP="00087058">
      <w:pPr>
        <w:jc w:val="right"/>
      </w:pPr>
    </w:p>
    <w:p w:rsidR="000D7319" w:rsidRDefault="000D7319" w:rsidP="00087058">
      <w:pPr>
        <w:jc w:val="right"/>
      </w:pPr>
    </w:p>
    <w:p w:rsidR="00F63735" w:rsidRDefault="00F63735" w:rsidP="00087058">
      <w:pPr>
        <w:jc w:val="right"/>
      </w:pPr>
    </w:p>
    <w:p w:rsidR="000D7319" w:rsidRDefault="000D7319" w:rsidP="00CC1B29">
      <w:pPr>
        <w:spacing w:line="276" w:lineRule="auto"/>
        <w:jc w:val="right"/>
      </w:pPr>
      <w:r>
        <w:t xml:space="preserve">Praha, </w:t>
      </w:r>
      <w:r w:rsidR="00777B53">
        <w:t xml:space="preserve">30. září </w:t>
      </w:r>
      <w:r>
        <w:t>2016</w:t>
      </w:r>
    </w:p>
    <w:p w:rsidR="000D7319" w:rsidRDefault="00777B53" w:rsidP="00CC1B29">
      <w:pPr>
        <w:spacing w:line="276" w:lineRule="auto"/>
        <w:jc w:val="right"/>
        <w:rPr>
          <w:i/>
        </w:rPr>
      </w:pPr>
      <w:proofErr w:type="gramStart"/>
      <w:r>
        <w:rPr>
          <w:i/>
        </w:rPr>
        <w:t>Č.j:383</w:t>
      </w:r>
      <w:r w:rsidR="000D7319">
        <w:rPr>
          <w:i/>
        </w:rPr>
        <w:t>/16</w:t>
      </w:r>
      <w:proofErr w:type="gramEnd"/>
    </w:p>
    <w:p w:rsidR="00576274" w:rsidRDefault="00576274" w:rsidP="00576274"/>
    <w:p w:rsidR="00D12537" w:rsidRDefault="00D12537" w:rsidP="00B436F2">
      <w:pPr>
        <w:spacing w:before="120"/>
      </w:pPr>
    </w:p>
    <w:p w:rsidR="00CC1B29" w:rsidRDefault="00CC1B29" w:rsidP="000D7319">
      <w:pPr>
        <w:spacing w:before="120"/>
        <w:jc w:val="both"/>
        <w:rPr>
          <w:b/>
        </w:rPr>
      </w:pPr>
    </w:p>
    <w:p w:rsidR="00C3474C" w:rsidRDefault="00777B53" w:rsidP="000D7319">
      <w:pPr>
        <w:spacing w:before="120"/>
        <w:jc w:val="both"/>
        <w:rPr>
          <w:b/>
        </w:rPr>
      </w:pPr>
      <w:r>
        <w:rPr>
          <w:b/>
        </w:rPr>
        <w:t>Finanční prostředky na opravy místních komunikací – dotační titul MMR.</w:t>
      </w:r>
    </w:p>
    <w:p w:rsidR="00777B53" w:rsidRDefault="00777B53" w:rsidP="000D7319">
      <w:pPr>
        <w:spacing w:before="120"/>
        <w:jc w:val="both"/>
        <w:rPr>
          <w:b/>
        </w:rPr>
      </w:pPr>
    </w:p>
    <w:p w:rsidR="00777B53" w:rsidRDefault="00777B53" w:rsidP="000D7319">
      <w:pPr>
        <w:spacing w:before="120"/>
        <w:jc w:val="both"/>
        <w:rPr>
          <w:b/>
        </w:rPr>
      </w:pPr>
    </w:p>
    <w:p w:rsidR="00777B53" w:rsidRDefault="00777B53" w:rsidP="00777B53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Vážený pane místopředsedo vlády,</w:t>
      </w:r>
    </w:p>
    <w:p w:rsidR="00777B53" w:rsidRDefault="00777B53" w:rsidP="00777B53">
      <w:pPr>
        <w:spacing w:line="276" w:lineRule="auto"/>
        <w:jc w:val="both"/>
        <w:rPr>
          <w:rFonts w:eastAsia="Calibri"/>
          <w:lang w:eastAsia="en-US"/>
        </w:rPr>
      </w:pPr>
    </w:p>
    <w:p w:rsidR="00777B53" w:rsidRDefault="00777B53" w:rsidP="00777B53">
      <w:pPr>
        <w:spacing w:before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dovolte, abych se na vás obrátil v souvislosti s žádostmi, které se pravidelně objevují mezi našimi členy – městy a obcemi České republiky. Jedním z hlavních témat dlouhodobě se opakujících je žalostný stav místních komunikací a absence dotačních titulů na jejich opravy. Obce samy jsou </w:t>
      </w:r>
      <w:r w:rsidR="0022384C">
        <w:rPr>
          <w:rFonts w:eastAsia="Calibri"/>
          <w:lang w:eastAsia="en-US"/>
        </w:rPr>
        <w:t>nuceny hledat ve svých napjatých</w:t>
      </w:r>
      <w:r>
        <w:rPr>
          <w:rFonts w:eastAsia="Calibri"/>
          <w:lang w:eastAsia="en-US"/>
        </w:rPr>
        <w:t xml:space="preserve"> rozpočtech prostředky na o</w:t>
      </w:r>
      <w:r>
        <w:rPr>
          <w:rFonts w:eastAsia="Calibri"/>
          <w:lang w:eastAsia="en-US"/>
        </w:rPr>
        <w:t xml:space="preserve">pravy místních komunikací, což </w:t>
      </w:r>
      <w:r>
        <w:rPr>
          <w:rFonts w:eastAsia="Calibri"/>
          <w:lang w:eastAsia="en-US"/>
        </w:rPr>
        <w:t>velmi komplikuje jejich finanční situaci a v mnoha případech doslova znemožňuje zajistit lepší stav. Na tyto opravy se skutečně velmi těžko shánějí finance, při tom jde o základní vybavenost obcí, která i z hlediska bezpečnosti silničního provozu hraje významnou roli.</w:t>
      </w:r>
    </w:p>
    <w:p w:rsidR="00777B53" w:rsidRDefault="00777B53" w:rsidP="00777B53">
      <w:pPr>
        <w:spacing w:before="120" w:line="276" w:lineRule="auto"/>
        <w:jc w:val="both"/>
        <w:rPr>
          <w:color w:val="231F20"/>
        </w:rPr>
      </w:pPr>
      <w:r>
        <w:rPr>
          <w:lang w:eastAsia="en-US"/>
        </w:rPr>
        <w:tab/>
        <w:t>Svaz měst a obcí ČR dlouhodobě upozorňuje na skutečnost, že bez dotačních peněz na opravy místních komunikací, nejsou obce schopny zajistit přiměřený dopravně technický stav komunikací, a že se situace bude jen dále zhoršovat. V loňském roce poprvé svitla naděje, že se situace začíná konečně řešit. Ministerstvo pro místní rozvoj</w:t>
      </w:r>
      <w:r>
        <w:rPr>
          <w:color w:val="231F20"/>
        </w:rPr>
        <w:t xml:space="preserve"> (dále jen „ministerstvo“</w:t>
      </w:r>
      <w:r>
        <w:rPr>
          <w:color w:val="231F20"/>
        </w:rPr>
        <w:t xml:space="preserve">) </w:t>
      </w:r>
      <w:proofErr w:type="gramStart"/>
      <w:r>
        <w:rPr>
          <w:color w:val="231F20"/>
        </w:rPr>
        <w:t>dne</w:t>
      </w:r>
      <w:r>
        <w:rPr>
          <w:color w:val="231F20"/>
        </w:rPr>
        <w:t xml:space="preserve">   </w:t>
      </w:r>
      <w:r w:rsidR="0022384C">
        <w:rPr>
          <w:color w:val="231F20"/>
        </w:rPr>
        <w:t>1. listopadu</w:t>
      </w:r>
      <w:proofErr w:type="gramEnd"/>
      <w:r w:rsidR="0022384C">
        <w:rPr>
          <w:color w:val="231F20"/>
        </w:rPr>
        <w:t xml:space="preserve"> </w:t>
      </w:r>
      <w:r>
        <w:rPr>
          <w:color w:val="231F20"/>
        </w:rPr>
        <w:t xml:space="preserve">2015 vyhlásilo první výzvu pro dotační titul </w:t>
      </w:r>
      <w:r>
        <w:rPr>
          <w:color w:val="231F20"/>
        </w:rPr>
        <w:t>Podpora obnovy místních komunikací </w:t>
      </w:r>
      <w:r>
        <w:rPr>
          <w:color w:val="231F20"/>
        </w:rPr>
        <w:t>v rámci podprogramu Podpora obnovy a rozvoje venkova. Dotační titul se týkal obcí do 3000 obyvatel a celková alokace byla 200 mil. Kč. V</w:t>
      </w:r>
      <w:r>
        <w:t>ýše d</w:t>
      </w:r>
      <w:r>
        <w:rPr>
          <w:color w:val="231F20"/>
        </w:rPr>
        <w:t>otace na jeden projekt činila max. 1 mil. Kč a dosahovala max. 50 % uznatelných nákladů. I přesto, že alokace byla nižší a obec musela dofinancovat 50 % z uznatelných nákladů, tak existence tohoto dotačního programu byla mnohem lepší než nic.</w:t>
      </w:r>
    </w:p>
    <w:p w:rsidR="00777B53" w:rsidRDefault="00777B53" w:rsidP="00777B53">
      <w:pPr>
        <w:spacing w:before="120" w:line="276" w:lineRule="auto"/>
        <w:jc w:val="both"/>
        <w:rPr>
          <w:rFonts w:eastAsia="SimSun"/>
          <w:lang w:eastAsia="zh-CN"/>
        </w:rPr>
      </w:pPr>
    </w:p>
    <w:p w:rsidR="00777B53" w:rsidRDefault="00777B53" w:rsidP="00777B53">
      <w:pPr>
        <w:spacing w:before="120" w:line="276" w:lineRule="auto"/>
        <w:jc w:val="both"/>
        <w:rPr>
          <w:rFonts w:eastAsia="SimSun"/>
          <w:lang w:eastAsia="zh-CN"/>
        </w:rPr>
      </w:pPr>
    </w:p>
    <w:p w:rsidR="00777B53" w:rsidRDefault="00777B53" w:rsidP="00777B53">
      <w:pPr>
        <w:spacing w:before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ab/>
        <w:t>Situace je v této oblasti již neúnosná a je třeba přehodnotit dotační politiku v tom smyslu, aby lépe odrážela reálné potřeby žadatelů a umožnila čerpání peněz především z národních dotačních titulů, když</w:t>
      </w:r>
      <w:r w:rsidR="0022384C">
        <w:rPr>
          <w:rFonts w:eastAsia="Calibri"/>
          <w:lang w:eastAsia="en-US"/>
        </w:rPr>
        <w:t xml:space="preserve"> už z důvodu</w:t>
      </w:r>
      <w:r>
        <w:rPr>
          <w:rFonts w:eastAsia="Calibri"/>
          <w:lang w:eastAsia="en-US"/>
        </w:rPr>
        <w:t xml:space="preserve"> n</w:t>
      </w:r>
      <w:r w:rsidR="0022384C">
        <w:rPr>
          <w:rFonts w:eastAsia="Calibri"/>
          <w:lang w:eastAsia="en-US"/>
        </w:rPr>
        <w:t>astavení parametrů není</w:t>
      </w:r>
      <w:r>
        <w:rPr>
          <w:rFonts w:eastAsia="Calibri"/>
          <w:lang w:eastAsia="en-US"/>
        </w:rPr>
        <w:t xml:space="preserve"> většině obcí </w:t>
      </w:r>
      <w:r w:rsidR="0022384C">
        <w:rPr>
          <w:rFonts w:eastAsia="Calibri"/>
          <w:lang w:eastAsia="en-US"/>
        </w:rPr>
        <w:t xml:space="preserve">umožněno </w:t>
      </w:r>
      <w:r>
        <w:rPr>
          <w:rFonts w:eastAsia="Calibri"/>
          <w:lang w:eastAsia="en-US"/>
        </w:rPr>
        <w:t>na tyto životně důležité aktivity čerpat evropské peníze. Finanční možnosti ministerstva jsou však na rok 2017 limitovány. Na opravy místních komunikací se nepodařilo navýšení rozpočtu ministerstva vyjednat kvůli jiným prioritám vlády.</w:t>
      </w:r>
    </w:p>
    <w:p w:rsidR="00777B53" w:rsidRDefault="00777B53" w:rsidP="00777B53">
      <w:pPr>
        <w:spacing w:before="120" w:line="276" w:lineRule="auto"/>
        <w:jc w:val="both"/>
        <w:rPr>
          <w:rFonts w:eastAsia="Calibri"/>
          <w:lang w:eastAsia="en-US"/>
        </w:rPr>
      </w:pPr>
    </w:p>
    <w:p w:rsidR="00777B53" w:rsidRDefault="00777B53" w:rsidP="00777B53">
      <w:pPr>
        <w:spacing w:before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Vážený pane místopředsedo vlády,</w:t>
      </w:r>
    </w:p>
    <w:p w:rsidR="00777B53" w:rsidRDefault="00777B53" w:rsidP="00777B53">
      <w:pPr>
        <w:spacing w:before="120" w:line="276" w:lineRule="auto"/>
        <w:jc w:val="both"/>
        <w:rPr>
          <w:rFonts w:eastAsia="Calibri"/>
          <w:lang w:eastAsia="en-US"/>
        </w:rPr>
      </w:pPr>
    </w:p>
    <w:p w:rsidR="00777B53" w:rsidRDefault="00777B53" w:rsidP="00777B53">
      <w:pPr>
        <w:spacing w:before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jsme si vědomi, že možnosti státního rozpočtu nejsou neomezené, ale přesto bychom velmi uvítali, kdybyste znovu zohlednil požadavek obcí a měst na zajištění alespoň minimální alokace finančních prostředků na opravy místních komunikací a vyhodnotil požadavek paní ministryně Karly Šlechtové na navýšení rozpočtu ministerstva pro zřízení obdobného dotačního titulu jako v loňském roce, jako oprávněný a potřebný.  V této věci jsme připraveni ke konzultacím či osob</w:t>
      </w:r>
      <w:r w:rsidR="0022384C">
        <w:rPr>
          <w:rFonts w:eastAsia="Calibri"/>
          <w:lang w:eastAsia="en-US"/>
        </w:rPr>
        <w:t>ní schůzce, abychom Vám přinesli</w:t>
      </w:r>
      <w:r>
        <w:rPr>
          <w:rFonts w:eastAsia="Calibri"/>
          <w:lang w:eastAsia="en-US"/>
        </w:rPr>
        <w:t xml:space="preserve"> argumenty o nutnosti </w:t>
      </w:r>
      <w:r>
        <w:rPr>
          <w:rFonts w:eastAsia="Calibri"/>
          <w:lang w:eastAsia="en-US"/>
        </w:rPr>
        <w:t>tohoto</w:t>
      </w:r>
      <w:r>
        <w:rPr>
          <w:rFonts w:eastAsia="Calibri"/>
          <w:lang w:eastAsia="en-US"/>
        </w:rPr>
        <w:t xml:space="preserve"> kroku.</w:t>
      </w:r>
    </w:p>
    <w:p w:rsidR="00777B53" w:rsidRDefault="00777B53" w:rsidP="00777B53">
      <w:pPr>
        <w:spacing w:before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Pevně věříme, že naší společným cílem je usnadnit život všem obyvatelům České republiky a nepřipustit, aby dlouhodobě neuspokojivý stav místní silniční infrastruktury ohrožoval jak silniční provoz, tak především bezpečnost jeho účastníků.</w:t>
      </w:r>
    </w:p>
    <w:p w:rsidR="00777B53" w:rsidRDefault="00777B53" w:rsidP="00777B53">
      <w:pPr>
        <w:spacing w:before="120" w:line="276" w:lineRule="auto"/>
        <w:jc w:val="both"/>
        <w:rPr>
          <w:rFonts w:eastAsia="Calibri"/>
          <w:lang w:eastAsia="en-US"/>
        </w:rPr>
      </w:pPr>
    </w:p>
    <w:p w:rsidR="00777B53" w:rsidRDefault="00777B53" w:rsidP="00777B53">
      <w:pPr>
        <w:spacing w:before="120" w:line="276" w:lineRule="auto"/>
        <w:jc w:val="both"/>
        <w:rPr>
          <w:rFonts w:eastAsia="Calibri"/>
          <w:lang w:eastAsia="en-US"/>
        </w:rPr>
      </w:pPr>
    </w:p>
    <w:p w:rsidR="00777B53" w:rsidRDefault="00777B53" w:rsidP="00777B53">
      <w:pPr>
        <w:spacing w:before="120" w:line="276" w:lineRule="auto"/>
        <w:jc w:val="both"/>
        <w:rPr>
          <w:rFonts w:eastAsia="Calibri"/>
          <w:lang w:eastAsia="en-US"/>
        </w:rPr>
      </w:pPr>
    </w:p>
    <w:p w:rsidR="00777B53" w:rsidRDefault="00777B53" w:rsidP="00777B53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V dokonalé úctě</w:t>
      </w:r>
    </w:p>
    <w:p w:rsidR="00777B53" w:rsidRDefault="00777B53" w:rsidP="00777B53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777B53" w:rsidRDefault="00777B53" w:rsidP="00777B53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777B53" w:rsidRDefault="00777B53" w:rsidP="00777B53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777B53" w:rsidRDefault="00777B53" w:rsidP="00777B53">
      <w:pPr>
        <w:rPr>
          <w:rFonts w:eastAsia="SimSun"/>
          <w:szCs w:val="24"/>
          <w:lang w:eastAsia="zh-CN"/>
        </w:rPr>
      </w:pPr>
    </w:p>
    <w:p w:rsidR="00777B53" w:rsidRPr="00777B53" w:rsidRDefault="00777B53" w:rsidP="000D7319">
      <w:pPr>
        <w:spacing w:before="120"/>
        <w:jc w:val="both"/>
      </w:pPr>
    </w:p>
    <w:p w:rsidR="00777B53" w:rsidRDefault="00777B53" w:rsidP="00777B53">
      <w:pPr>
        <w:rPr>
          <w:bCs/>
        </w:rPr>
      </w:pPr>
    </w:p>
    <w:p w:rsidR="00777B53" w:rsidRDefault="00777B53" w:rsidP="00777B53">
      <w:pPr>
        <w:rPr>
          <w:bCs/>
        </w:rPr>
      </w:pPr>
    </w:p>
    <w:p w:rsidR="00777B53" w:rsidRDefault="00777B53" w:rsidP="00777B53">
      <w:pPr>
        <w:rPr>
          <w:bCs/>
        </w:rPr>
      </w:pPr>
    </w:p>
    <w:p w:rsidR="00777B53" w:rsidRDefault="00777B53" w:rsidP="00777B53">
      <w:pPr>
        <w:rPr>
          <w:bCs/>
        </w:rPr>
      </w:pPr>
    </w:p>
    <w:p w:rsidR="00777B53" w:rsidRDefault="00777B53" w:rsidP="00777B53">
      <w:pPr>
        <w:rPr>
          <w:bCs/>
        </w:rPr>
      </w:pPr>
    </w:p>
    <w:p w:rsidR="00777B53" w:rsidRPr="00777B53" w:rsidRDefault="00777B53" w:rsidP="00777B53">
      <w:pPr>
        <w:rPr>
          <w:bCs/>
        </w:rPr>
      </w:pPr>
      <w:r w:rsidRPr="00777B53">
        <w:rPr>
          <w:bCs/>
        </w:rPr>
        <w:t>Vážený pan</w:t>
      </w:r>
    </w:p>
    <w:p w:rsidR="00777B53" w:rsidRPr="00777B53" w:rsidRDefault="00777B53" w:rsidP="00777B53">
      <w:pPr>
        <w:rPr>
          <w:b/>
          <w:bCs/>
        </w:rPr>
      </w:pPr>
      <w:r w:rsidRPr="00777B53">
        <w:rPr>
          <w:b/>
          <w:bCs/>
        </w:rPr>
        <w:t>Ing. Andrej Babiš</w:t>
      </w:r>
    </w:p>
    <w:p w:rsidR="00777B53" w:rsidRPr="00777B53" w:rsidRDefault="00777B53" w:rsidP="00777B53">
      <w:pPr>
        <w:rPr>
          <w:bCs/>
        </w:rPr>
      </w:pPr>
      <w:r w:rsidRPr="00777B53">
        <w:rPr>
          <w:bCs/>
        </w:rPr>
        <w:t>1. místopředseda vlády a ministr financí</w:t>
      </w:r>
    </w:p>
    <w:p w:rsidR="00777B53" w:rsidRPr="00777B53" w:rsidRDefault="00777B53" w:rsidP="00777B53">
      <w:pPr>
        <w:rPr>
          <w:bCs/>
        </w:rPr>
      </w:pPr>
      <w:r w:rsidRPr="00777B53">
        <w:rPr>
          <w:bCs/>
        </w:rPr>
        <w:t>Ministerstvo financí ČR</w:t>
      </w:r>
    </w:p>
    <w:p w:rsidR="00777B53" w:rsidRPr="00777B53" w:rsidRDefault="00777B53" w:rsidP="00777B53">
      <w:pPr>
        <w:rPr>
          <w:bCs/>
        </w:rPr>
      </w:pPr>
      <w:r w:rsidRPr="00777B53">
        <w:rPr>
          <w:bCs/>
        </w:rPr>
        <w:t>Letenská 15</w:t>
      </w:r>
    </w:p>
    <w:p w:rsidR="00777B53" w:rsidRPr="00777B53" w:rsidRDefault="00777B53" w:rsidP="00777B53">
      <w:pPr>
        <w:spacing w:after="120"/>
        <w:rPr>
          <w:bCs/>
          <w:color w:val="000000"/>
        </w:rPr>
      </w:pPr>
      <w:proofErr w:type="gramStart"/>
      <w:r w:rsidRPr="00777B53">
        <w:rPr>
          <w:bCs/>
        </w:rPr>
        <w:t>118 10  Praha</w:t>
      </w:r>
      <w:proofErr w:type="gramEnd"/>
      <w:r w:rsidRPr="00777B53">
        <w:rPr>
          <w:bCs/>
        </w:rPr>
        <w:t xml:space="preserve"> 1</w:t>
      </w:r>
    </w:p>
    <w:p w:rsidR="00C3474C" w:rsidRDefault="00C3474C" w:rsidP="000D7319">
      <w:pPr>
        <w:spacing w:before="120"/>
        <w:jc w:val="both"/>
      </w:pPr>
    </w:p>
    <w:sectPr w:rsidR="00C3474C" w:rsidSect="00777B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FA7" w:rsidRDefault="00367FA7">
      <w:r>
        <w:separator/>
      </w:r>
    </w:p>
  </w:endnote>
  <w:endnote w:type="continuationSeparator" w:id="0">
    <w:p w:rsidR="00367FA7" w:rsidRDefault="0036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306009"/>
      <w:docPartObj>
        <w:docPartGallery w:val="Page Numbers (Bottom of Page)"/>
        <w:docPartUnique/>
      </w:docPartObj>
    </w:sdtPr>
    <w:sdtContent>
      <w:p w:rsidR="00777B53" w:rsidRDefault="00777B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A3C">
          <w:rPr>
            <w:noProof/>
          </w:rPr>
          <w:t>2</w:t>
        </w:r>
        <w:r>
          <w:fldChar w:fldCharType="end"/>
        </w:r>
      </w:p>
    </w:sdtContent>
  </w:sdt>
  <w:p w:rsidR="009117B2" w:rsidRDefault="009117B2">
    <w:pPr>
      <w:pStyle w:val="Zpat"/>
      <w:rPr>
        <w:sz w:val="16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53" w:rsidRPr="00195F24" w:rsidRDefault="00777B53" w:rsidP="00777B53">
    <w:pPr>
      <w:pStyle w:val="Zpat"/>
      <w:rPr>
        <w:sz w:val="16"/>
        <w:u w:val="single"/>
        <w:vertAlign w:val="superscript"/>
      </w:rPr>
    </w:pPr>
    <w:r w:rsidRPr="00195F24">
      <w:rPr>
        <w:sz w:val="16"/>
        <w:u w:val="single"/>
        <w:vertAlign w:val="superscript"/>
      </w:rPr>
      <w:t>______________________________________________________________________________________________________________________________________________________</w:t>
    </w:r>
    <w:r>
      <w:rPr>
        <w:sz w:val="16"/>
        <w:u w:val="single"/>
        <w:vertAlign w:val="superscript"/>
      </w:rPr>
      <w:t>_</w:t>
    </w:r>
    <w:r w:rsidRPr="00195F24">
      <w:rPr>
        <w:sz w:val="16"/>
        <w:u w:val="single"/>
        <w:vertAlign w:val="superscript"/>
      </w:rPr>
      <w:t>______________________________</w:t>
    </w:r>
  </w:p>
  <w:p w:rsidR="00777B53" w:rsidRDefault="00777B53" w:rsidP="00777B53">
    <w:pPr>
      <w:pStyle w:val="Zpat"/>
      <w:rPr>
        <w:sz w:val="16"/>
      </w:rPr>
    </w:pPr>
    <w:smartTag w:uri="urn:schemas-microsoft-com:office:smarttags" w:element="date">
      <w:smartTagPr>
        <w:attr w:name="ls" w:val="trans"/>
        <w:attr w:name="Month" w:val="5"/>
        <w:attr w:name="Day" w:val="5"/>
        <w:attr w:name="Year" w:val="16"/>
      </w:smartTagPr>
      <w:r>
        <w:rPr>
          <w:sz w:val="16"/>
        </w:rPr>
        <w:t>5. května 16</w:t>
      </w:r>
    </w:smartTag>
    <w:r>
      <w:rPr>
        <w:sz w:val="16"/>
      </w:rPr>
      <w:t xml:space="preserve">40/65                                                                     </w:t>
    </w:r>
    <w:proofErr w:type="gramStart"/>
    <w:r>
      <w:rPr>
        <w:sz w:val="16"/>
      </w:rPr>
      <w:t>Tel.:  234709711</w:t>
    </w:r>
    <w:proofErr w:type="gramEnd"/>
    <w:r>
      <w:rPr>
        <w:sz w:val="16"/>
      </w:rPr>
      <w:t xml:space="preserve">                                              IČ: 63113074, DIČ: CZ63113074</w:t>
    </w:r>
  </w:p>
  <w:p w:rsidR="00777B53" w:rsidRDefault="00777B53" w:rsidP="00777B53">
    <w:pPr>
      <w:pStyle w:val="Zpat"/>
      <w:rPr>
        <w:sz w:val="16"/>
      </w:rPr>
    </w:pPr>
    <w:proofErr w:type="gramStart"/>
    <w:r>
      <w:rPr>
        <w:sz w:val="16"/>
      </w:rPr>
      <w:t>140 00  Praha</w:t>
    </w:r>
    <w:proofErr w:type="gramEnd"/>
    <w:r>
      <w:rPr>
        <w:sz w:val="16"/>
      </w:rPr>
      <w:t xml:space="preserve"> 4                                                                         Fax:  234709786                                                </w:t>
    </w:r>
    <w:proofErr w:type="spellStart"/>
    <w:r>
      <w:rPr>
        <w:sz w:val="16"/>
      </w:rPr>
      <w:t>Bank.spoj</w:t>
    </w:r>
    <w:proofErr w:type="spellEnd"/>
    <w:r>
      <w:rPr>
        <w:sz w:val="16"/>
      </w:rPr>
      <w:t>.: Komerční banka, a.s.</w:t>
    </w:r>
  </w:p>
  <w:p w:rsidR="00777B53" w:rsidRDefault="00777B53" w:rsidP="00777B53">
    <w:pPr>
      <w:pStyle w:val="Zpat"/>
      <w:rPr>
        <w:sz w:val="16"/>
      </w:rPr>
    </w:pPr>
    <w:r>
      <w:rPr>
        <w:sz w:val="16"/>
      </w:rPr>
      <w:t xml:space="preserve">Česká republika                                                                        e-mail: smocr@smocr.cz                                              </w:t>
    </w:r>
    <w:proofErr w:type="spellStart"/>
    <w:proofErr w:type="gramStart"/>
    <w:r>
      <w:rPr>
        <w:sz w:val="16"/>
      </w:rPr>
      <w:t>č.ú</w:t>
    </w:r>
    <w:proofErr w:type="spellEnd"/>
    <w:r>
      <w:rPr>
        <w:sz w:val="16"/>
      </w:rPr>
      <w:t>.: 19</w:t>
    </w:r>
    <w:proofErr w:type="gramEnd"/>
    <w:r>
      <w:rPr>
        <w:sz w:val="16"/>
      </w:rPr>
      <w:t xml:space="preserve">-9221540247/0100                                                 </w:t>
    </w:r>
    <w:r>
      <w:rPr>
        <w:sz w:val="16"/>
      </w:rPr>
      <w:tab/>
      <w:t xml:space="preserve"> htt://www.smocr.cz                                                 </w:t>
    </w:r>
  </w:p>
  <w:p w:rsidR="00777B53" w:rsidRDefault="00777B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FA7" w:rsidRDefault="00367FA7">
      <w:r>
        <w:separator/>
      </w:r>
    </w:p>
  </w:footnote>
  <w:footnote w:type="continuationSeparator" w:id="0">
    <w:p w:rsidR="00367FA7" w:rsidRDefault="0036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B2" w:rsidRDefault="009117B2" w:rsidP="002F4EE3">
    <w:pPr>
      <w:pStyle w:val="Zhlav"/>
    </w:pPr>
    <w:r>
      <w:tab/>
    </w:r>
    <w:r>
      <w:tab/>
    </w:r>
  </w:p>
  <w:p w:rsidR="009117B2" w:rsidRDefault="009117B2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53" w:rsidRDefault="00777B53" w:rsidP="00777B53">
    <w:pPr>
      <w:pStyle w:val="Zhlav"/>
      <w:jc w:val="right"/>
    </w:pPr>
    <w:r>
      <w:rPr>
        <w:noProof/>
      </w:rPr>
      <w:drawing>
        <wp:inline distT="0" distB="0" distL="0" distR="0" wp14:anchorId="44D0FAE1" wp14:editId="203571E4">
          <wp:extent cx="1019175" cy="666750"/>
          <wp:effectExtent l="19050" t="0" r="952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7B53" w:rsidRDefault="00777B53" w:rsidP="00777B5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19E2"/>
    <w:multiLevelType w:val="hybridMultilevel"/>
    <w:tmpl w:val="D508372A"/>
    <w:lvl w:ilvl="0" w:tplc="7F766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B80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8A9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E1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AD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CC8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2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6F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DCA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203"/>
    <w:multiLevelType w:val="hybridMultilevel"/>
    <w:tmpl w:val="1640E72E"/>
    <w:lvl w:ilvl="0" w:tplc="DC0448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99716C"/>
    <w:multiLevelType w:val="hybridMultilevel"/>
    <w:tmpl w:val="F55462CA"/>
    <w:lvl w:ilvl="0" w:tplc="6172AA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E63218C"/>
    <w:multiLevelType w:val="hybridMultilevel"/>
    <w:tmpl w:val="6DE67F4E"/>
    <w:lvl w:ilvl="0" w:tplc="30E8B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601E4"/>
    <w:multiLevelType w:val="hybridMultilevel"/>
    <w:tmpl w:val="E0DCD572"/>
    <w:lvl w:ilvl="0" w:tplc="8FD0A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E8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9A3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87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23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E7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365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29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43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F62"/>
    <w:rsid w:val="0001378F"/>
    <w:rsid w:val="000266B9"/>
    <w:rsid w:val="00040D64"/>
    <w:rsid w:val="00046702"/>
    <w:rsid w:val="00047640"/>
    <w:rsid w:val="000535B1"/>
    <w:rsid w:val="00072A6B"/>
    <w:rsid w:val="00087058"/>
    <w:rsid w:val="00090745"/>
    <w:rsid w:val="00095BB6"/>
    <w:rsid w:val="000B2624"/>
    <w:rsid w:val="000C6139"/>
    <w:rsid w:val="000C627D"/>
    <w:rsid w:val="000C67C4"/>
    <w:rsid w:val="000D7319"/>
    <w:rsid w:val="000E0954"/>
    <w:rsid w:val="0010649A"/>
    <w:rsid w:val="001202CD"/>
    <w:rsid w:val="0013648C"/>
    <w:rsid w:val="00145F49"/>
    <w:rsid w:val="001544C9"/>
    <w:rsid w:val="00157537"/>
    <w:rsid w:val="0016444F"/>
    <w:rsid w:val="001927E1"/>
    <w:rsid w:val="00195F24"/>
    <w:rsid w:val="001A76E8"/>
    <w:rsid w:val="001B0A09"/>
    <w:rsid w:val="002224B5"/>
    <w:rsid w:val="0022384C"/>
    <w:rsid w:val="00227E6F"/>
    <w:rsid w:val="0023244A"/>
    <w:rsid w:val="00234B2C"/>
    <w:rsid w:val="00254F88"/>
    <w:rsid w:val="002560FE"/>
    <w:rsid w:val="002572CC"/>
    <w:rsid w:val="00260A76"/>
    <w:rsid w:val="00261645"/>
    <w:rsid w:val="00286372"/>
    <w:rsid w:val="002A6881"/>
    <w:rsid w:val="002C4723"/>
    <w:rsid w:val="002E11AC"/>
    <w:rsid w:val="002F4EE3"/>
    <w:rsid w:val="00302D9B"/>
    <w:rsid w:val="0032418A"/>
    <w:rsid w:val="00347A59"/>
    <w:rsid w:val="00351E95"/>
    <w:rsid w:val="00362256"/>
    <w:rsid w:val="00367F62"/>
    <w:rsid w:val="00367FA7"/>
    <w:rsid w:val="003724EF"/>
    <w:rsid w:val="00376081"/>
    <w:rsid w:val="00376ACA"/>
    <w:rsid w:val="00387FA9"/>
    <w:rsid w:val="00396D9E"/>
    <w:rsid w:val="003A29AC"/>
    <w:rsid w:val="003B3A3C"/>
    <w:rsid w:val="003C4715"/>
    <w:rsid w:val="003E289F"/>
    <w:rsid w:val="00410549"/>
    <w:rsid w:val="00422D77"/>
    <w:rsid w:val="00431953"/>
    <w:rsid w:val="0043382F"/>
    <w:rsid w:val="00433937"/>
    <w:rsid w:val="00452901"/>
    <w:rsid w:val="004609A2"/>
    <w:rsid w:val="0046629C"/>
    <w:rsid w:val="00472B57"/>
    <w:rsid w:val="00476C34"/>
    <w:rsid w:val="004837F4"/>
    <w:rsid w:val="0049002A"/>
    <w:rsid w:val="0049632B"/>
    <w:rsid w:val="004A78AA"/>
    <w:rsid w:val="004B325E"/>
    <w:rsid w:val="004B44D5"/>
    <w:rsid w:val="004B70E6"/>
    <w:rsid w:val="004C139D"/>
    <w:rsid w:val="004C3597"/>
    <w:rsid w:val="004E2773"/>
    <w:rsid w:val="00506CE2"/>
    <w:rsid w:val="005117F7"/>
    <w:rsid w:val="00511C7C"/>
    <w:rsid w:val="005141AA"/>
    <w:rsid w:val="005242C8"/>
    <w:rsid w:val="00535BBB"/>
    <w:rsid w:val="005446D2"/>
    <w:rsid w:val="00552046"/>
    <w:rsid w:val="00554EF5"/>
    <w:rsid w:val="00564A8E"/>
    <w:rsid w:val="00576274"/>
    <w:rsid w:val="00590BA3"/>
    <w:rsid w:val="005A3541"/>
    <w:rsid w:val="005A36A0"/>
    <w:rsid w:val="005A5618"/>
    <w:rsid w:val="005B00C2"/>
    <w:rsid w:val="005B4C54"/>
    <w:rsid w:val="005C1BF9"/>
    <w:rsid w:val="005C2229"/>
    <w:rsid w:val="005C5DE2"/>
    <w:rsid w:val="005C6DC0"/>
    <w:rsid w:val="005D4D1F"/>
    <w:rsid w:val="005E1F1D"/>
    <w:rsid w:val="005E2276"/>
    <w:rsid w:val="005F30A0"/>
    <w:rsid w:val="0060593F"/>
    <w:rsid w:val="0060625E"/>
    <w:rsid w:val="006137D9"/>
    <w:rsid w:val="00614E7F"/>
    <w:rsid w:val="00624E6A"/>
    <w:rsid w:val="00633898"/>
    <w:rsid w:val="00642874"/>
    <w:rsid w:val="00643CC4"/>
    <w:rsid w:val="00667DDC"/>
    <w:rsid w:val="0067025F"/>
    <w:rsid w:val="00674EFC"/>
    <w:rsid w:val="00675B6F"/>
    <w:rsid w:val="00694E56"/>
    <w:rsid w:val="006B38E2"/>
    <w:rsid w:val="006C4C59"/>
    <w:rsid w:val="006E0693"/>
    <w:rsid w:val="006E1C7A"/>
    <w:rsid w:val="006E68B1"/>
    <w:rsid w:val="006E6AC3"/>
    <w:rsid w:val="00704712"/>
    <w:rsid w:val="007161DD"/>
    <w:rsid w:val="00761A30"/>
    <w:rsid w:val="00777B53"/>
    <w:rsid w:val="007B0C29"/>
    <w:rsid w:val="007B15A0"/>
    <w:rsid w:val="007B33EC"/>
    <w:rsid w:val="007C22CE"/>
    <w:rsid w:val="007D6BE9"/>
    <w:rsid w:val="007E4450"/>
    <w:rsid w:val="007F611F"/>
    <w:rsid w:val="008031E4"/>
    <w:rsid w:val="00813E69"/>
    <w:rsid w:val="008257DD"/>
    <w:rsid w:val="00887F7D"/>
    <w:rsid w:val="008A26CA"/>
    <w:rsid w:val="008A4C35"/>
    <w:rsid w:val="008A6294"/>
    <w:rsid w:val="008B4F20"/>
    <w:rsid w:val="008C7023"/>
    <w:rsid w:val="008D1A73"/>
    <w:rsid w:val="008D4C5E"/>
    <w:rsid w:val="008D7317"/>
    <w:rsid w:val="009117B2"/>
    <w:rsid w:val="00953167"/>
    <w:rsid w:val="00953673"/>
    <w:rsid w:val="00974C6D"/>
    <w:rsid w:val="009771D6"/>
    <w:rsid w:val="009C0775"/>
    <w:rsid w:val="00A064EF"/>
    <w:rsid w:val="00A1559A"/>
    <w:rsid w:val="00A33CB6"/>
    <w:rsid w:val="00A63AC2"/>
    <w:rsid w:val="00A87F40"/>
    <w:rsid w:val="00AB5C31"/>
    <w:rsid w:val="00AC278D"/>
    <w:rsid w:val="00AD1705"/>
    <w:rsid w:val="00AF487E"/>
    <w:rsid w:val="00B123D3"/>
    <w:rsid w:val="00B16C99"/>
    <w:rsid w:val="00B26BE6"/>
    <w:rsid w:val="00B3399A"/>
    <w:rsid w:val="00B436F2"/>
    <w:rsid w:val="00B4779E"/>
    <w:rsid w:val="00B64A00"/>
    <w:rsid w:val="00B83B2A"/>
    <w:rsid w:val="00B9020D"/>
    <w:rsid w:val="00BA13BB"/>
    <w:rsid w:val="00BA778E"/>
    <w:rsid w:val="00BB0661"/>
    <w:rsid w:val="00BB5B6B"/>
    <w:rsid w:val="00BC29D2"/>
    <w:rsid w:val="00C01924"/>
    <w:rsid w:val="00C3474C"/>
    <w:rsid w:val="00C63ABC"/>
    <w:rsid w:val="00C765EC"/>
    <w:rsid w:val="00C8239A"/>
    <w:rsid w:val="00C85F92"/>
    <w:rsid w:val="00CA291A"/>
    <w:rsid w:val="00CC1B29"/>
    <w:rsid w:val="00CC215A"/>
    <w:rsid w:val="00CE0120"/>
    <w:rsid w:val="00CE4F18"/>
    <w:rsid w:val="00CE6CE7"/>
    <w:rsid w:val="00D1125B"/>
    <w:rsid w:val="00D12537"/>
    <w:rsid w:val="00D15A10"/>
    <w:rsid w:val="00D40694"/>
    <w:rsid w:val="00D6085F"/>
    <w:rsid w:val="00D73F0F"/>
    <w:rsid w:val="00D75ED2"/>
    <w:rsid w:val="00D83D11"/>
    <w:rsid w:val="00DA3115"/>
    <w:rsid w:val="00DC4C5F"/>
    <w:rsid w:val="00E07B58"/>
    <w:rsid w:val="00E206C2"/>
    <w:rsid w:val="00E33645"/>
    <w:rsid w:val="00E35AC4"/>
    <w:rsid w:val="00E35BA4"/>
    <w:rsid w:val="00E71037"/>
    <w:rsid w:val="00E8264E"/>
    <w:rsid w:val="00E903FE"/>
    <w:rsid w:val="00EA521D"/>
    <w:rsid w:val="00EC3B04"/>
    <w:rsid w:val="00EC5F09"/>
    <w:rsid w:val="00ED5CE2"/>
    <w:rsid w:val="00F26170"/>
    <w:rsid w:val="00F27275"/>
    <w:rsid w:val="00F463DF"/>
    <w:rsid w:val="00F520F8"/>
    <w:rsid w:val="00F56123"/>
    <w:rsid w:val="00F601EC"/>
    <w:rsid w:val="00F63735"/>
    <w:rsid w:val="00F6778B"/>
    <w:rsid w:val="00F90733"/>
    <w:rsid w:val="00FC4444"/>
    <w:rsid w:val="00FE156D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5079198-BDFF-42C8-A7A8-4AB0FD1D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styleId="Textbubliny">
    <w:name w:val="Balloon Text"/>
    <w:basedOn w:val="Normln"/>
    <w:semiHidden/>
    <w:rsid w:val="00C63AB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2A6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88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88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8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6881"/>
    <w:rPr>
      <w:b/>
      <w:bCs/>
    </w:rPr>
  </w:style>
  <w:style w:type="character" w:customStyle="1" w:styleId="ZkladntextodsazenChar">
    <w:name w:val="Základní text odsazený Char"/>
    <w:link w:val="Zkladntextodsazen"/>
    <w:rsid w:val="00145F49"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7627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6274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0D731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D7319"/>
  </w:style>
  <w:style w:type="character" w:customStyle="1" w:styleId="ZpatChar">
    <w:name w:val="Zápatí Char"/>
    <w:basedOn w:val="Standardnpsmoodstavce"/>
    <w:link w:val="Zpat"/>
    <w:uiPriority w:val="99"/>
    <w:rsid w:val="00777B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Microsoft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SMO</dc:creator>
  <cp:keywords/>
  <cp:lastModifiedBy>Chládková Jana</cp:lastModifiedBy>
  <cp:revision>2</cp:revision>
  <cp:lastPrinted>2016-09-30T08:41:00Z</cp:lastPrinted>
  <dcterms:created xsi:type="dcterms:W3CDTF">2016-09-30T08:53:00Z</dcterms:created>
  <dcterms:modified xsi:type="dcterms:W3CDTF">2016-09-30T08:53:00Z</dcterms:modified>
</cp:coreProperties>
</file>