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5627" w14:textId="77777777"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1E18DEA0" w14:textId="77777777"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7C12B9AB" w14:textId="6ED14444" w:rsidR="002B5F0F" w:rsidRPr="002B5F0F" w:rsidRDefault="002B5F0F" w:rsidP="002B5F0F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r>
        <w:rPr>
          <w:b/>
          <w:bCs/>
          <w:color w:val="000000"/>
        </w:rPr>
        <w:t>Ing. Dan Jiránek</w:t>
      </w:r>
    </w:p>
    <w:p w14:paraId="7569DD7D" w14:textId="77777777" w:rsidR="002B5F0F" w:rsidRDefault="002B5F0F" w:rsidP="002B5F0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>výkonný ředitel</w:t>
      </w:r>
    </w:p>
    <w:p w14:paraId="0C4881D0" w14:textId="51D50B15" w:rsidR="00D73F0F" w:rsidRDefault="00D73F0F" w:rsidP="00590BA3">
      <w:pPr>
        <w:pStyle w:val="Zkladntextodsazen"/>
        <w:tabs>
          <w:tab w:val="center" w:pos="1276"/>
        </w:tabs>
        <w:spacing w:line="240" w:lineRule="auto"/>
        <w:ind w:firstLine="0"/>
        <w:rPr>
          <w:b/>
        </w:rPr>
      </w:pPr>
    </w:p>
    <w:p w14:paraId="54A8CC99" w14:textId="77777777" w:rsidR="00F63735" w:rsidRDefault="00F63735" w:rsidP="00087058">
      <w:pPr>
        <w:jc w:val="right"/>
      </w:pPr>
    </w:p>
    <w:p w14:paraId="1162FC91" w14:textId="77777777" w:rsidR="00F63735" w:rsidRDefault="00F63735" w:rsidP="00BD3AFB"/>
    <w:p w14:paraId="1D7FF49C" w14:textId="0A640594" w:rsidR="00087058" w:rsidRDefault="00F520F8" w:rsidP="00087058">
      <w:pPr>
        <w:jc w:val="right"/>
      </w:pPr>
      <w:r>
        <w:t xml:space="preserve">Praha, </w:t>
      </w:r>
      <w:r w:rsidR="002B5F0F">
        <w:t xml:space="preserve">5. </w:t>
      </w:r>
      <w:r w:rsidR="002463EF">
        <w:t>října</w:t>
      </w:r>
      <w:r w:rsidR="00C94CA0">
        <w:t xml:space="preserve"> 2015</w:t>
      </w:r>
    </w:p>
    <w:p w14:paraId="50D7C569" w14:textId="0850F4BB" w:rsidR="00087058" w:rsidRDefault="008B4F20" w:rsidP="00087058">
      <w:pPr>
        <w:jc w:val="right"/>
        <w:rPr>
          <w:i/>
        </w:rPr>
      </w:pPr>
      <w:proofErr w:type="spellStart"/>
      <w:proofErr w:type="gramStart"/>
      <w:r w:rsidRPr="002B5F0F">
        <w:rPr>
          <w:i/>
        </w:rPr>
        <w:t>Č.j</w:t>
      </w:r>
      <w:proofErr w:type="spellEnd"/>
      <w:r w:rsidRPr="002B5F0F">
        <w:rPr>
          <w:i/>
        </w:rPr>
        <w:t>:</w:t>
      </w:r>
      <w:r w:rsidR="0083488D" w:rsidRPr="002B5F0F">
        <w:rPr>
          <w:i/>
        </w:rPr>
        <w:t xml:space="preserve"> </w:t>
      </w:r>
      <w:r w:rsidR="002B5F0F" w:rsidRPr="002B5F0F">
        <w:rPr>
          <w:i/>
        </w:rPr>
        <w:t>475</w:t>
      </w:r>
      <w:r w:rsidR="0049632B" w:rsidRPr="002B5F0F">
        <w:rPr>
          <w:i/>
        </w:rPr>
        <w:t>/</w:t>
      </w:r>
      <w:r w:rsidR="003724EF" w:rsidRPr="002B5F0F">
        <w:rPr>
          <w:i/>
        </w:rPr>
        <w:t>15</w:t>
      </w:r>
      <w:proofErr w:type="gramEnd"/>
    </w:p>
    <w:p w14:paraId="00BD2497" w14:textId="77777777" w:rsidR="00B0181C" w:rsidRDefault="00B0181C" w:rsidP="00087058">
      <w:pPr>
        <w:jc w:val="right"/>
        <w:rPr>
          <w:i/>
        </w:rPr>
      </w:pPr>
    </w:p>
    <w:p w14:paraId="7331675B" w14:textId="77777777" w:rsidR="006478F9" w:rsidRDefault="006478F9" w:rsidP="0083488D">
      <w:pPr>
        <w:spacing w:before="120"/>
        <w:jc w:val="both"/>
        <w:rPr>
          <w:b/>
        </w:rPr>
      </w:pPr>
    </w:p>
    <w:p w14:paraId="6ECE7A8F" w14:textId="77777777" w:rsidR="000160F0" w:rsidRDefault="000160F0" w:rsidP="0083488D">
      <w:pPr>
        <w:spacing w:before="120"/>
        <w:jc w:val="both"/>
        <w:rPr>
          <w:b/>
        </w:rPr>
      </w:pPr>
    </w:p>
    <w:p w14:paraId="287DE3A6" w14:textId="282A6347" w:rsidR="00D12537" w:rsidRPr="0083488D" w:rsidRDefault="00F624CE" w:rsidP="0083488D">
      <w:pPr>
        <w:spacing w:before="120"/>
        <w:jc w:val="both"/>
        <w:rPr>
          <w:b/>
        </w:rPr>
      </w:pPr>
      <w:r>
        <w:rPr>
          <w:b/>
        </w:rPr>
        <w:t>Problematika DPH - §</w:t>
      </w:r>
      <w:r w:rsidR="00C61DD4">
        <w:rPr>
          <w:b/>
        </w:rPr>
        <w:t xml:space="preserve"> </w:t>
      </w:r>
      <w:r>
        <w:rPr>
          <w:b/>
        </w:rPr>
        <w:t>56 z pohledu územních samosprávných celků</w:t>
      </w:r>
      <w:r w:rsidR="002463EF">
        <w:rPr>
          <w:b/>
        </w:rPr>
        <w:t xml:space="preserve"> ve vazbě na informaci GFŘ vydanou dne 13. 7. 2015</w:t>
      </w:r>
      <w:r w:rsidR="00C61DD4">
        <w:rPr>
          <w:b/>
        </w:rPr>
        <w:t>.</w:t>
      </w:r>
    </w:p>
    <w:p w14:paraId="00932695" w14:textId="77777777" w:rsidR="006478F9" w:rsidRDefault="006478F9" w:rsidP="006478F9">
      <w:pPr>
        <w:spacing w:before="120" w:after="120"/>
        <w:jc w:val="both"/>
        <w:rPr>
          <w:szCs w:val="24"/>
        </w:rPr>
      </w:pPr>
    </w:p>
    <w:p w14:paraId="6FFA4075" w14:textId="77777777" w:rsidR="003132D3" w:rsidRDefault="003132D3" w:rsidP="006478F9">
      <w:pPr>
        <w:spacing w:before="120" w:after="120"/>
        <w:jc w:val="both"/>
        <w:rPr>
          <w:szCs w:val="24"/>
        </w:rPr>
      </w:pPr>
    </w:p>
    <w:p w14:paraId="26D4996E" w14:textId="2867FA50" w:rsidR="00C61DD4" w:rsidRDefault="003132D3" w:rsidP="006478F9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Vážený pane </w:t>
      </w:r>
      <w:r w:rsidR="002B5F0F">
        <w:rPr>
          <w:szCs w:val="24"/>
        </w:rPr>
        <w:t>řediteli</w:t>
      </w:r>
      <w:r w:rsidR="002463EF">
        <w:rPr>
          <w:szCs w:val="24"/>
        </w:rPr>
        <w:t>,</w:t>
      </w:r>
    </w:p>
    <w:p w14:paraId="66A20081" w14:textId="77777777" w:rsidR="003132D3" w:rsidRDefault="003132D3" w:rsidP="006478F9">
      <w:pPr>
        <w:spacing w:before="120" w:after="120"/>
        <w:jc w:val="both"/>
        <w:rPr>
          <w:szCs w:val="24"/>
        </w:rPr>
      </w:pPr>
    </w:p>
    <w:p w14:paraId="6FEED32B" w14:textId="56766331" w:rsidR="00474C77" w:rsidRDefault="002463EF" w:rsidP="00C61DD4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ch</w:t>
      </w:r>
      <w:r w:rsidR="000160F0">
        <w:rPr>
          <w:szCs w:val="24"/>
        </w:rPr>
        <w:t>těli bychom navázat na náš dopis</w:t>
      </w:r>
      <w:r>
        <w:rPr>
          <w:szCs w:val="24"/>
        </w:rPr>
        <w:t xml:space="preserve"> ze dne</w:t>
      </w:r>
      <w:r w:rsidR="002B5F0F">
        <w:rPr>
          <w:szCs w:val="24"/>
        </w:rPr>
        <w:t xml:space="preserve"> 3. 8. 2015</w:t>
      </w:r>
      <w:r w:rsidR="003132D3">
        <w:rPr>
          <w:szCs w:val="24"/>
        </w:rPr>
        <w:t xml:space="preserve"> (</w:t>
      </w:r>
      <w:proofErr w:type="gramStart"/>
      <w:r w:rsidR="002B5F0F">
        <w:rPr>
          <w:szCs w:val="24"/>
        </w:rPr>
        <w:t>č.j.</w:t>
      </w:r>
      <w:proofErr w:type="gramEnd"/>
      <w:r w:rsidR="002B5F0F">
        <w:rPr>
          <w:szCs w:val="24"/>
        </w:rPr>
        <w:t>:</w:t>
      </w:r>
      <w:r w:rsidR="003132D3">
        <w:rPr>
          <w:szCs w:val="24"/>
        </w:rPr>
        <w:t xml:space="preserve"> </w:t>
      </w:r>
      <w:r w:rsidR="002B5F0F">
        <w:rPr>
          <w:szCs w:val="24"/>
        </w:rPr>
        <w:t>394/15</w:t>
      </w:r>
      <w:r w:rsidR="003132D3">
        <w:rPr>
          <w:szCs w:val="24"/>
        </w:rPr>
        <w:t>)</w:t>
      </w:r>
      <w:r w:rsidR="002B5F0F">
        <w:rPr>
          <w:szCs w:val="24"/>
        </w:rPr>
        <w:t>,</w:t>
      </w:r>
      <w:r w:rsidR="000160F0">
        <w:rPr>
          <w:szCs w:val="24"/>
        </w:rPr>
        <w:t xml:space="preserve"> kterým</w:t>
      </w:r>
      <w:r>
        <w:rPr>
          <w:szCs w:val="24"/>
        </w:rPr>
        <w:t xml:space="preserve"> jsme Vás žádali o jasnější vymezení pojmu „podstatná změna“, který b</w:t>
      </w:r>
      <w:r w:rsidR="00474C77">
        <w:rPr>
          <w:szCs w:val="24"/>
        </w:rPr>
        <w:t>ude velice důležitý pro určení</w:t>
      </w:r>
      <w:r>
        <w:rPr>
          <w:szCs w:val="24"/>
        </w:rPr>
        <w:t xml:space="preserve">, v jakém případě bude převod nemovitostí podléhat DPH. </w:t>
      </w:r>
      <w:r w:rsidR="003132D3">
        <w:rPr>
          <w:szCs w:val="24"/>
        </w:rPr>
        <w:t>(</w:t>
      </w:r>
      <w:r w:rsidR="003132D3" w:rsidRPr="003132D3">
        <w:rPr>
          <w:i/>
          <w:szCs w:val="24"/>
        </w:rPr>
        <w:t xml:space="preserve">Pozn.: Tento dopis je u Vás veden pod </w:t>
      </w:r>
      <w:proofErr w:type="gramStart"/>
      <w:r w:rsidR="003132D3" w:rsidRPr="003132D3">
        <w:rPr>
          <w:i/>
          <w:szCs w:val="24"/>
        </w:rPr>
        <w:t>č.j.</w:t>
      </w:r>
      <w:proofErr w:type="gramEnd"/>
      <w:r w:rsidR="003132D3" w:rsidRPr="003132D3">
        <w:rPr>
          <w:i/>
          <w:szCs w:val="24"/>
        </w:rPr>
        <w:t>: 64190/15, odpověď jsme prozatím neobdrželi</w:t>
      </w:r>
      <w:r w:rsidR="003132D3">
        <w:rPr>
          <w:szCs w:val="24"/>
        </w:rPr>
        <w:t>).</w:t>
      </w:r>
    </w:p>
    <w:p w14:paraId="24E9FD12" w14:textId="2ACC9B99" w:rsidR="002463EF" w:rsidRDefault="002463EF" w:rsidP="00C61DD4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 xml:space="preserve">Jednotlivé obce se na nás začínají </w:t>
      </w:r>
      <w:r w:rsidR="000160F0">
        <w:rPr>
          <w:szCs w:val="24"/>
        </w:rPr>
        <w:t>častěji</w:t>
      </w:r>
      <w:r>
        <w:rPr>
          <w:szCs w:val="24"/>
        </w:rPr>
        <w:t xml:space="preserve"> obracet také ve vztahu k „Informaci GFŘ k uplatňování DPH u nemovitých věcí po 1. 1. 2015“ a to zejména ve vztahu k je</w:t>
      </w:r>
      <w:r w:rsidR="000160F0">
        <w:rPr>
          <w:szCs w:val="24"/>
        </w:rPr>
        <w:t xml:space="preserve">jí provázanosti na zákon o DPH, </w:t>
      </w:r>
      <w:r>
        <w:rPr>
          <w:szCs w:val="24"/>
        </w:rPr>
        <w:t>respektive z</w:t>
      </w:r>
      <w:r w:rsidR="003132D3">
        <w:rPr>
          <w:szCs w:val="24"/>
        </w:rPr>
        <w:t>da v určitých momentech nejde nad</w:t>
      </w:r>
      <w:r>
        <w:rPr>
          <w:szCs w:val="24"/>
        </w:rPr>
        <w:t xml:space="preserve"> rámec zákona o DPH.</w:t>
      </w:r>
    </w:p>
    <w:p w14:paraId="1CCCE2AC" w14:textId="6791A073" w:rsidR="002463EF" w:rsidRDefault="002463EF" w:rsidP="00C61DD4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 xml:space="preserve">Prvotní obava pramení z toho, že osvobození od DPH představuje obecnou výjimku ze systému a i ve světle judikatury </w:t>
      </w:r>
      <w:r w:rsidR="00E05854">
        <w:rPr>
          <w:szCs w:val="24"/>
        </w:rPr>
        <w:t xml:space="preserve">by tyto výjimky neměly být vykládány například na základě analogie nějakým extenzivním způsobem. Ve vztahu k výše zmíněné informaci </w:t>
      </w:r>
      <w:r w:rsidR="003132D3">
        <w:rPr>
          <w:szCs w:val="24"/>
        </w:rPr>
        <w:t>se jedná</w:t>
      </w:r>
      <w:r w:rsidR="00E05854">
        <w:rPr>
          <w:szCs w:val="24"/>
        </w:rPr>
        <w:t xml:space="preserve"> zejména o následující:</w:t>
      </w:r>
    </w:p>
    <w:p w14:paraId="557CC59C" w14:textId="36C888E9" w:rsidR="00E05854" w:rsidRPr="0060241C" w:rsidRDefault="00E05854" w:rsidP="003132D3">
      <w:pPr>
        <w:pStyle w:val="Odstavecseseznamem"/>
        <w:numPr>
          <w:ilvl w:val="0"/>
          <w:numId w:val="10"/>
        </w:numPr>
        <w:spacing w:before="120" w:after="120"/>
        <w:ind w:left="426"/>
        <w:jc w:val="both"/>
        <w:rPr>
          <w:b/>
          <w:u w:val="single"/>
        </w:rPr>
      </w:pPr>
      <w:r w:rsidRPr="0060241C">
        <w:rPr>
          <w:b/>
          <w:u w:val="single"/>
        </w:rPr>
        <w:t>Zákon o DPH účinný nyní v roce 2015 vymezuje v §</w:t>
      </w:r>
      <w:r w:rsidR="003132D3">
        <w:rPr>
          <w:b/>
          <w:u w:val="single"/>
        </w:rPr>
        <w:t xml:space="preserve"> </w:t>
      </w:r>
      <w:r w:rsidRPr="0060241C">
        <w:rPr>
          <w:b/>
          <w:u w:val="single"/>
        </w:rPr>
        <w:t>56 odst. 2 „nezastavěný pozemek“ jako ten, na kterém není zřízena stavba spojená se zemí pevným základem</w:t>
      </w:r>
      <w:r w:rsidR="003132D3">
        <w:rPr>
          <w:b/>
          <w:u w:val="single"/>
        </w:rPr>
        <w:t>.</w:t>
      </w:r>
    </w:p>
    <w:p w14:paraId="042B1ED7" w14:textId="5203A6EB" w:rsidR="00E05854" w:rsidRDefault="00E05854" w:rsidP="00E05854">
      <w:pPr>
        <w:spacing w:before="120" w:after="120"/>
        <w:jc w:val="both"/>
      </w:pPr>
      <w:r>
        <w:t xml:space="preserve">Podle informace GFŘ by ale stavby </w:t>
      </w:r>
      <w:r w:rsidR="00474C77">
        <w:t xml:space="preserve">spojené se zemí pevným základem </w:t>
      </w:r>
      <w:r>
        <w:t>měly být rozděleny do dvou kategorií:</w:t>
      </w:r>
    </w:p>
    <w:p w14:paraId="0679FA71" w14:textId="7B5048BE" w:rsidR="00E05854" w:rsidRDefault="00474C77" w:rsidP="003A33EC">
      <w:pPr>
        <w:pStyle w:val="Odstavecseseznamem"/>
        <w:numPr>
          <w:ilvl w:val="0"/>
          <w:numId w:val="11"/>
        </w:numPr>
        <w:spacing w:before="120" w:after="120"/>
        <w:ind w:left="426"/>
        <w:jc w:val="both"/>
      </w:pPr>
      <w:r>
        <w:t>t</w:t>
      </w:r>
      <w:r w:rsidR="00E05854">
        <w:t>y, které jsou určující pro využití pozemku</w:t>
      </w:r>
    </w:p>
    <w:p w14:paraId="129D084D" w14:textId="11E644FA" w:rsidR="00E05854" w:rsidRDefault="00474C77" w:rsidP="003A33EC">
      <w:pPr>
        <w:pStyle w:val="Odstavecseseznamem"/>
        <w:numPr>
          <w:ilvl w:val="0"/>
          <w:numId w:val="11"/>
        </w:numPr>
        <w:spacing w:before="120" w:after="120"/>
        <w:ind w:left="426"/>
        <w:jc w:val="both"/>
      </w:pPr>
      <w:r>
        <w:t>t</w:t>
      </w:r>
      <w:r w:rsidR="00E05854">
        <w:t>y, které určující pro využití pozemku nejsou</w:t>
      </w:r>
    </w:p>
    <w:p w14:paraId="14D7BD9E" w14:textId="77777777" w:rsidR="000160F0" w:rsidRDefault="00E05854" w:rsidP="00E05854">
      <w:pPr>
        <w:spacing w:before="120" w:after="120"/>
        <w:jc w:val="both"/>
      </w:pPr>
      <w:r>
        <w:t xml:space="preserve"> </w:t>
      </w:r>
    </w:p>
    <w:p w14:paraId="0240A40F" w14:textId="77777777" w:rsidR="000160F0" w:rsidRDefault="000160F0" w:rsidP="00E05854">
      <w:pPr>
        <w:spacing w:before="120" w:after="120"/>
        <w:jc w:val="both"/>
      </w:pPr>
    </w:p>
    <w:p w14:paraId="0D32D811" w14:textId="33920694" w:rsidR="00E05854" w:rsidRDefault="00E05854" w:rsidP="00E05854">
      <w:pPr>
        <w:spacing w:before="120" w:after="120"/>
        <w:jc w:val="both"/>
      </w:pPr>
      <w:r>
        <w:t>Ve své informaci mimo jiné uvádíte:</w:t>
      </w:r>
    </w:p>
    <w:p w14:paraId="41243F12" w14:textId="630585BE" w:rsidR="00E05854" w:rsidRPr="003A33EC" w:rsidRDefault="003A33EC" w:rsidP="003A33EC">
      <w:pPr>
        <w:spacing w:before="120" w:after="120"/>
        <w:jc w:val="both"/>
        <w:rPr>
          <w:i/>
          <w:szCs w:val="24"/>
        </w:rPr>
      </w:pPr>
      <w:r>
        <w:rPr>
          <w:i/>
          <w:szCs w:val="24"/>
        </w:rPr>
        <w:t>„</w:t>
      </w:r>
      <w:r w:rsidR="00E05854" w:rsidRPr="003A33EC">
        <w:rPr>
          <w:i/>
          <w:szCs w:val="24"/>
        </w:rPr>
        <w:t>Je proto třeba připustit, že za nezastavěný může být považován i pozemek, na kterém se nacházejí drobné stavby</w:t>
      </w:r>
      <w:r>
        <w:rPr>
          <w:i/>
          <w:szCs w:val="24"/>
        </w:rPr>
        <w:t xml:space="preserve"> (</w:t>
      </w:r>
      <w:r w:rsidR="00E05854" w:rsidRPr="003A33EC">
        <w:rPr>
          <w:i/>
          <w:szCs w:val="24"/>
        </w:rPr>
        <w:t>28</w:t>
      </w:r>
      <w:r>
        <w:rPr>
          <w:i/>
          <w:szCs w:val="24"/>
        </w:rPr>
        <w:t>)</w:t>
      </w:r>
      <w:r w:rsidR="00E05854" w:rsidRPr="003A33EC">
        <w:rPr>
          <w:i/>
          <w:szCs w:val="24"/>
        </w:rPr>
        <w:t xml:space="preserve"> a stavby sloužící k ochraně či kvalitnějšímu využití pozemku, které (byť spojené se zemí pevným základem) nemají při případném dodání pozemku určující význam.</w:t>
      </w:r>
    </w:p>
    <w:p w14:paraId="545ADA37" w14:textId="1D8E46E3" w:rsidR="00E05854" w:rsidRPr="003A33EC" w:rsidRDefault="00E05854" w:rsidP="003A33EC">
      <w:pPr>
        <w:spacing w:before="120" w:after="120"/>
        <w:jc w:val="both"/>
        <w:rPr>
          <w:i/>
          <w:szCs w:val="24"/>
        </w:rPr>
      </w:pPr>
      <w:r w:rsidRPr="003A33EC">
        <w:rPr>
          <w:i/>
          <w:szCs w:val="24"/>
        </w:rPr>
        <w:t>Kritériem drobné stavby (byť spojené se zemí pevným základem) – např. do země zapuštěná či zabetonovaná lavička, sušák, anténa, dětská houpačka, je např. nakolik snadno (z hlediska úsilí a vynaložení nezanedbatelných nákladů) lze její pevné spojení se zemí uvolnit a také nakolik je tato stavba spojená se zemí pevným základem cílem sledovaným smluvními stranami a jakou jí v dané transakci tyto strany přisuzují funkci</w:t>
      </w:r>
      <w:r w:rsidR="003A33EC">
        <w:rPr>
          <w:i/>
          <w:szCs w:val="24"/>
        </w:rPr>
        <w:t xml:space="preserve"> (</w:t>
      </w:r>
      <w:r w:rsidRPr="003A33EC">
        <w:rPr>
          <w:i/>
          <w:szCs w:val="24"/>
        </w:rPr>
        <w:t>29</w:t>
      </w:r>
      <w:r w:rsidR="003A33EC">
        <w:rPr>
          <w:i/>
          <w:szCs w:val="24"/>
        </w:rPr>
        <w:t>)</w:t>
      </w:r>
      <w:r w:rsidRPr="003A33EC">
        <w:rPr>
          <w:i/>
          <w:szCs w:val="24"/>
        </w:rPr>
        <w:t>. Mezi stavby, které slouží k lepšímu využití pozemku a které by neměly bránit osvobození při jeho převodu, patří např. ploty v různém provedení – zděné, s podezdívkou, drátěné atd., zajišťující ochranu pozemku, opěrná zídka proti sesuvu půdy.</w:t>
      </w:r>
    </w:p>
    <w:p w14:paraId="2DBE94E4" w14:textId="261457BE" w:rsidR="00E05854" w:rsidRDefault="00E05854" w:rsidP="003A33EC">
      <w:pPr>
        <w:spacing w:before="120" w:after="120"/>
        <w:ind w:firstLine="709"/>
        <w:jc w:val="both"/>
      </w:pPr>
      <w:r>
        <w:t xml:space="preserve">Jakkoliv daný výklad považujeme za logický, vidíme problém v to, že se jedná o extenzivní vymezení v porovnání se </w:t>
      </w:r>
      <w:r w:rsidR="00474C77">
        <w:t xml:space="preserve">současným </w:t>
      </w:r>
      <w:r>
        <w:t>zněním zákona o DPH</w:t>
      </w:r>
      <w:r w:rsidR="00474C77">
        <w:t xml:space="preserve"> (ten hovoří pouze o existenci stavby spojené se zemí pevným základem a neřeší její charakter)</w:t>
      </w:r>
      <w:r>
        <w:t>.</w:t>
      </w:r>
    </w:p>
    <w:p w14:paraId="74BF3820" w14:textId="77777777" w:rsidR="00726845" w:rsidRDefault="00726845" w:rsidP="003A33EC">
      <w:pPr>
        <w:spacing w:before="120" w:after="120"/>
        <w:ind w:firstLine="709"/>
        <w:jc w:val="both"/>
      </w:pPr>
    </w:p>
    <w:p w14:paraId="1272350B" w14:textId="3BD2E9E0" w:rsidR="00E05854" w:rsidRDefault="00E05854" w:rsidP="001B7A4F">
      <w:pPr>
        <w:spacing w:before="120" w:after="120"/>
        <w:ind w:firstLine="66"/>
        <w:jc w:val="both"/>
      </w:pPr>
      <w:r>
        <w:t>S ohledem na tuto skutečnost žádáme o:</w:t>
      </w:r>
    </w:p>
    <w:p w14:paraId="32595849" w14:textId="77778722" w:rsidR="0060241C" w:rsidRDefault="00E05854" w:rsidP="003A33EC">
      <w:pPr>
        <w:pStyle w:val="Odstavecseseznamem"/>
        <w:numPr>
          <w:ilvl w:val="0"/>
          <w:numId w:val="13"/>
        </w:numPr>
        <w:spacing w:before="120" w:after="120"/>
        <w:ind w:left="426"/>
        <w:jc w:val="both"/>
        <w:rPr>
          <w:b/>
        </w:rPr>
      </w:pPr>
      <w:r w:rsidRPr="0060241C">
        <w:rPr>
          <w:b/>
        </w:rPr>
        <w:t xml:space="preserve">Potvrzení, že </w:t>
      </w:r>
      <w:r w:rsidR="0060241C" w:rsidRPr="0060241C">
        <w:rPr>
          <w:b/>
        </w:rPr>
        <w:t xml:space="preserve">toto extenzivní vymezení </w:t>
      </w:r>
      <w:r w:rsidR="0060241C">
        <w:rPr>
          <w:b/>
        </w:rPr>
        <w:t>v porovnání se zněním zákona</w:t>
      </w:r>
      <w:r w:rsidR="0060241C" w:rsidRPr="0060241C">
        <w:rPr>
          <w:b/>
        </w:rPr>
        <w:t xml:space="preserve"> je v pořádku a tento pohled bude respektován</w:t>
      </w:r>
      <w:r w:rsidR="0060241C">
        <w:rPr>
          <w:b/>
        </w:rPr>
        <w:t xml:space="preserve"> z pohledu všech složek finanční správy. Zároveň žádáme o to, abyste potvrdili, že u subjektů, které v prvním pololetí 2015, případně v roce 2014 (neboť znění zákona je v tomto ohledu stejné v roce 2014 i 2015) s ohledem na znění zákona zdanily převod daného pozemku (s ohledem na umístění určité drobné stavby) a ve světle informace GFŘ z července 2015 by tak činit nemusely, bude plně akceptováno podání dodatečného daňového přiznání na snížení daňové povinnosti.</w:t>
      </w:r>
    </w:p>
    <w:p w14:paraId="3E530302" w14:textId="04E27A57" w:rsidR="0060241C" w:rsidRPr="0060241C" w:rsidRDefault="0060241C" w:rsidP="003A33EC">
      <w:pPr>
        <w:pStyle w:val="Odstavecseseznamem"/>
        <w:numPr>
          <w:ilvl w:val="0"/>
          <w:numId w:val="13"/>
        </w:numPr>
        <w:spacing w:before="120" w:after="120"/>
        <w:ind w:left="426"/>
        <w:jc w:val="both"/>
        <w:rPr>
          <w:b/>
        </w:rPr>
      </w:pPr>
      <w:r>
        <w:rPr>
          <w:b/>
        </w:rPr>
        <w:t>Zvážení úpravy zákona o DPH tak, aby se výslovně definovalo, že drobné stavby, které nejsou určující pro využití pozemku, z pohledu zdanění převodu pozemku ne</w:t>
      </w:r>
      <w:r w:rsidR="000160F0">
        <w:rPr>
          <w:b/>
        </w:rPr>
        <w:t>z</w:t>
      </w:r>
      <w:r>
        <w:rPr>
          <w:b/>
        </w:rPr>
        <w:t xml:space="preserve">působí to, že daný pozemek </w:t>
      </w:r>
      <w:r w:rsidR="00474C77">
        <w:rPr>
          <w:b/>
        </w:rPr>
        <w:t>j</w:t>
      </w:r>
      <w:r>
        <w:rPr>
          <w:b/>
        </w:rPr>
        <w:t>e chápán jako zastavěný.</w:t>
      </w:r>
    </w:p>
    <w:p w14:paraId="2146FFE0" w14:textId="1663E4F0" w:rsidR="00E05854" w:rsidRDefault="00E05854" w:rsidP="0060241C">
      <w:pPr>
        <w:spacing w:before="120" w:after="120"/>
        <w:ind w:left="360"/>
        <w:jc w:val="both"/>
        <w:rPr>
          <w:b/>
        </w:rPr>
      </w:pPr>
    </w:p>
    <w:p w14:paraId="42307143" w14:textId="7F7C197F" w:rsidR="0060241C" w:rsidRPr="0060241C" w:rsidRDefault="0060241C" w:rsidP="003A33EC">
      <w:pPr>
        <w:pStyle w:val="Odstavecseseznamem"/>
        <w:numPr>
          <w:ilvl w:val="0"/>
          <w:numId w:val="10"/>
        </w:numPr>
        <w:spacing w:before="120" w:after="120"/>
        <w:ind w:left="426"/>
        <w:jc w:val="both"/>
        <w:rPr>
          <w:b/>
          <w:u w:val="single"/>
        </w:rPr>
      </w:pPr>
      <w:r w:rsidRPr="0060241C">
        <w:rPr>
          <w:b/>
          <w:u w:val="single"/>
        </w:rPr>
        <w:t>Zákon o DPH účinný nyní v roce 2015 vymezuje v §</w:t>
      </w:r>
      <w:r w:rsidR="003A33EC">
        <w:rPr>
          <w:b/>
          <w:u w:val="single"/>
        </w:rPr>
        <w:t xml:space="preserve"> </w:t>
      </w:r>
      <w:r w:rsidRPr="0060241C">
        <w:rPr>
          <w:b/>
          <w:u w:val="single"/>
        </w:rPr>
        <w:t>56 odst. 2 „nezastavěný pozemek“ jako ten, na kterém není zřízena inženýrská síť</w:t>
      </w:r>
      <w:r w:rsidR="000160F0">
        <w:rPr>
          <w:b/>
          <w:u w:val="single"/>
        </w:rPr>
        <w:t>.</w:t>
      </w:r>
    </w:p>
    <w:p w14:paraId="5F8D9858" w14:textId="4A1A6349" w:rsidR="00B70303" w:rsidRDefault="0060241C" w:rsidP="0060241C">
      <w:pPr>
        <w:spacing w:before="120" w:after="120"/>
        <w:ind w:left="360"/>
        <w:jc w:val="both"/>
      </w:pPr>
      <w:r w:rsidRPr="0060241C">
        <w:t xml:space="preserve">V informaci GFŘ jsou ale opět sítě </w:t>
      </w:r>
      <w:r>
        <w:t>rozděleny do dvou skupin a to na ty, které jsou ve vlastnictví stejné osoby</w:t>
      </w:r>
      <w:r w:rsidR="00B70303">
        <w:t xml:space="preserve"> jako je tomu u pozemku (k takovým sítím se podle informace přihlíží, neboť tvoří funkční celek) a na sítě, které jsou ve vlastnictví jiné osoby</w:t>
      </w:r>
      <w:r w:rsidR="00474C77">
        <w:t xml:space="preserve"> (k existenci těchto sítí se nepřihlíží ve vztahu k tomu, zda se jedná o pozemek zastavěný či nikoliv)</w:t>
      </w:r>
      <w:r w:rsidR="00B70303">
        <w:t>.</w:t>
      </w:r>
    </w:p>
    <w:p w14:paraId="00B1ED05" w14:textId="56EB0F51" w:rsidR="00B70303" w:rsidRDefault="00B70303" w:rsidP="0060241C">
      <w:pPr>
        <w:spacing w:before="120" w:after="120"/>
        <w:ind w:left="360"/>
        <w:jc w:val="both"/>
      </w:pPr>
      <w:r>
        <w:t>Z našeho pohledu se jedná o výklad, který koresponduje až se zněním zákona o DPH účinného od 1. 1. 2016, kdy se do definice „nezastavěného pozemku“ v §</w:t>
      </w:r>
      <w:r w:rsidR="000160F0">
        <w:t xml:space="preserve"> </w:t>
      </w:r>
      <w:r>
        <w:t>56 odst. 1 dostává, že „netvoří funkční celek se stavbou pevně spojenou se zemí“.</w:t>
      </w:r>
    </w:p>
    <w:p w14:paraId="48CD9FA5" w14:textId="77777777" w:rsidR="00726845" w:rsidRDefault="00726845" w:rsidP="0060241C">
      <w:pPr>
        <w:spacing w:before="120" w:after="120"/>
        <w:ind w:left="360"/>
        <w:jc w:val="both"/>
      </w:pPr>
    </w:p>
    <w:p w14:paraId="1372586F" w14:textId="77777777" w:rsidR="00726845" w:rsidRDefault="00726845" w:rsidP="0060241C">
      <w:pPr>
        <w:spacing w:before="120" w:after="120"/>
        <w:ind w:left="360"/>
        <w:jc w:val="both"/>
      </w:pPr>
    </w:p>
    <w:p w14:paraId="5112F99F" w14:textId="77777777" w:rsidR="00B70303" w:rsidRDefault="00B70303" w:rsidP="0060241C">
      <w:pPr>
        <w:spacing w:before="120" w:after="120"/>
        <w:ind w:left="360"/>
        <w:jc w:val="both"/>
      </w:pPr>
      <w:r>
        <w:t>S ohledem na výše uvedené tedy žádáme o:</w:t>
      </w:r>
    </w:p>
    <w:p w14:paraId="7D9038D4" w14:textId="15DF4237" w:rsidR="00B70303" w:rsidRDefault="00B70303" w:rsidP="001B7A4F">
      <w:pPr>
        <w:spacing w:before="120" w:after="120"/>
        <w:ind w:firstLine="709"/>
        <w:jc w:val="both"/>
        <w:rPr>
          <w:b/>
        </w:rPr>
      </w:pPr>
      <w:r w:rsidRPr="00B70303">
        <w:rPr>
          <w:b/>
        </w:rPr>
        <w:t>Potvrzení, že toto vymezení</w:t>
      </w:r>
      <w:r>
        <w:rPr>
          <w:b/>
        </w:rPr>
        <w:t xml:space="preserve"> vlivu sítí umístěných na pozemku</w:t>
      </w:r>
      <w:r w:rsidRPr="00B70303">
        <w:rPr>
          <w:b/>
        </w:rPr>
        <w:t xml:space="preserve"> v porovnání se zněním zákona</w:t>
      </w:r>
      <w:r w:rsidR="00474C77">
        <w:rPr>
          <w:b/>
        </w:rPr>
        <w:t xml:space="preserve"> účinného do 31. 12. 2015</w:t>
      </w:r>
      <w:r w:rsidRPr="00B70303">
        <w:rPr>
          <w:b/>
        </w:rPr>
        <w:t xml:space="preserve"> je v pořádku a tento pohled bude respektován z pohledu všech složek finanční správy. Zároveň žádáme o to, abyste potvrdili, že u subjektů, které v prvním pololetí 2015, případně v roce 2014 (neboť znění zákona je v tomto ohledu stejné v roce 2014 i 2015) s ohledem na znění zákona</w:t>
      </w:r>
      <w:r w:rsidR="003A33EC">
        <w:rPr>
          <w:b/>
        </w:rPr>
        <w:t>,</w:t>
      </w:r>
      <w:r w:rsidRPr="00B70303">
        <w:rPr>
          <w:b/>
        </w:rPr>
        <w:t xml:space="preserve"> zdanily převod daného pozemku (s ohledem na umístění určité </w:t>
      </w:r>
      <w:r w:rsidR="00474C77">
        <w:rPr>
          <w:b/>
        </w:rPr>
        <w:t>sítě</w:t>
      </w:r>
      <w:r w:rsidRPr="00B70303">
        <w:rPr>
          <w:b/>
        </w:rPr>
        <w:t>) a ve světle informace GFŘ z července 2015 by tak činit nemusely, bude plně akceptováno podání dodatečného daňového přiznání na snížení daňové povinnosti.</w:t>
      </w:r>
    </w:p>
    <w:p w14:paraId="58F543D1" w14:textId="24CD562F" w:rsidR="00B70303" w:rsidRDefault="00B70303" w:rsidP="001B7A4F">
      <w:pPr>
        <w:spacing w:before="120" w:after="120"/>
        <w:ind w:firstLine="709"/>
        <w:jc w:val="both"/>
      </w:pPr>
      <w:r>
        <w:t xml:space="preserve">K výše uvedenému dále vyslovujeme pochybnost, zda je kritérium </w:t>
      </w:r>
      <w:r w:rsidR="00474C77">
        <w:t xml:space="preserve">jednotného </w:t>
      </w:r>
      <w:r w:rsidR="000160F0">
        <w:t>vlastnictví tím</w:t>
      </w:r>
      <w:r>
        <w:t xml:space="preserve"> správným pohledem na to, zda by se na pozemek mělo hledět jako zastavěný či nezastavěný – záležitost bychom chtěli demonstrovat na příkladech:</w:t>
      </w:r>
    </w:p>
    <w:p w14:paraId="3B155BB5" w14:textId="7624EEC8" w:rsidR="00B70303" w:rsidRDefault="00B70303" w:rsidP="00B70303">
      <w:pPr>
        <w:spacing w:before="120" w:after="120"/>
        <w:jc w:val="both"/>
        <w:rPr>
          <w:i/>
        </w:rPr>
      </w:pPr>
      <w:r>
        <w:rPr>
          <w:i/>
        </w:rPr>
        <w:t>Příklad 1:</w:t>
      </w:r>
    </w:p>
    <w:p w14:paraId="3D6C1315" w14:textId="481A0BB2" w:rsidR="00B70303" w:rsidRDefault="00B70303" w:rsidP="00B70303">
      <w:pPr>
        <w:spacing w:before="120" w:after="120"/>
        <w:jc w:val="both"/>
        <w:rPr>
          <w:i/>
        </w:rPr>
      </w:pPr>
      <w:r>
        <w:rPr>
          <w:i/>
        </w:rPr>
        <w:t>Obec prodává zahradu, přes kterou vede také kanalizační řad ve vlastnictví stejné obce. Předmětem převodu není tento kanalizační řad</w:t>
      </w:r>
      <w:r w:rsidR="00C4229A">
        <w:rPr>
          <w:i/>
        </w:rPr>
        <w:t xml:space="preserve"> a účelem převodu je skutečně „zahrada“. Ze znění dané informace by se dalo dovodit, že v tomto případě díky tomu, že kanalizace a pozemek je ve vlastnictví stejné osoby, by se mělo na pozemek hledět jako na zastavěný a daňový režim odvozovat z příslušné stavby.</w:t>
      </w:r>
    </w:p>
    <w:p w14:paraId="7A05B5BD" w14:textId="289A3C5F" w:rsidR="00C4229A" w:rsidRDefault="00C4229A" w:rsidP="00B70303">
      <w:pPr>
        <w:spacing w:before="120" w:after="120"/>
        <w:jc w:val="both"/>
        <w:rPr>
          <w:i/>
        </w:rPr>
      </w:pPr>
      <w:r>
        <w:rPr>
          <w:i/>
        </w:rPr>
        <w:t xml:space="preserve">Pokud by ale byla příslušná stavba ve vlastnictví </w:t>
      </w:r>
      <w:proofErr w:type="spellStart"/>
      <w:r>
        <w:rPr>
          <w:i/>
        </w:rPr>
        <w:t>VaK</w:t>
      </w:r>
      <w:proofErr w:type="spellEnd"/>
      <w:r>
        <w:rPr>
          <w:i/>
        </w:rPr>
        <w:t xml:space="preserve"> (osoby jiné než vlastník pozemku – obec), nemělo by se podle příslušné informace k takovéto síti přihlížet.</w:t>
      </w:r>
    </w:p>
    <w:p w14:paraId="2431E13A" w14:textId="79F90FD7" w:rsidR="00C4229A" w:rsidRDefault="00C4229A" w:rsidP="00726845">
      <w:pPr>
        <w:spacing w:before="120" w:after="120"/>
        <w:ind w:firstLine="709"/>
        <w:jc w:val="both"/>
      </w:pPr>
      <w:r>
        <w:t>Domníváme se, že v obou případech je podstata převodu shodná. Pokud budeme aplikovat „řekněme extenzivní pohled funkčního celku“, tak by v obou případech dle našeho názoru měl být pozemek považován za nezastavěný.</w:t>
      </w:r>
    </w:p>
    <w:p w14:paraId="41CD3F10" w14:textId="07953A84" w:rsidR="00C4229A" w:rsidRDefault="00C4229A" w:rsidP="00B70303">
      <w:pPr>
        <w:spacing w:before="120" w:after="120"/>
        <w:jc w:val="both"/>
        <w:rPr>
          <w:i/>
        </w:rPr>
      </w:pPr>
      <w:r>
        <w:rPr>
          <w:i/>
        </w:rPr>
        <w:t>Příklad 2:</w:t>
      </w:r>
    </w:p>
    <w:p w14:paraId="62E1B2CC" w14:textId="41034C9D" w:rsidR="00C4229A" w:rsidRDefault="00C4229A" w:rsidP="00B70303">
      <w:pPr>
        <w:spacing w:before="120" w:after="120"/>
        <w:jc w:val="both"/>
        <w:rPr>
          <w:i/>
        </w:rPr>
      </w:pPr>
      <w:r>
        <w:rPr>
          <w:i/>
        </w:rPr>
        <w:t>Obec prodává pozemky pro výstavbu RD s tím, že na pozemky jdou přivedeny přípojky sítí (například plyn, voda …), které budou ale převáděny nikoliv na vlastníky pozemků, ale na distribuční společnosti.</w:t>
      </w:r>
    </w:p>
    <w:p w14:paraId="369EFC0D" w14:textId="6773EBF3" w:rsidR="00C4229A" w:rsidRDefault="00C4229A" w:rsidP="00B70303">
      <w:pPr>
        <w:spacing w:before="120" w:after="120"/>
        <w:jc w:val="both"/>
        <w:rPr>
          <w:i/>
        </w:rPr>
      </w:pPr>
      <w:r>
        <w:rPr>
          <w:i/>
        </w:rPr>
        <w:t>Přitom nastaly dvě varianty:</w:t>
      </w:r>
    </w:p>
    <w:p w14:paraId="0C385079" w14:textId="339A3236" w:rsidR="00C4229A" w:rsidRDefault="00C4229A" w:rsidP="003A33EC">
      <w:pPr>
        <w:pStyle w:val="Odstavecseseznamem"/>
        <w:numPr>
          <w:ilvl w:val="0"/>
          <w:numId w:val="15"/>
        </w:numPr>
        <w:spacing w:before="120" w:after="120"/>
        <w:ind w:left="426"/>
        <w:jc w:val="both"/>
        <w:rPr>
          <w:i/>
        </w:rPr>
      </w:pPr>
      <w:r>
        <w:rPr>
          <w:i/>
        </w:rPr>
        <w:t>Pozemek A byl prodán ještě v okamžiku, kdy dané přípojky byly ve vlastnictví obce, neboť ještě nedošlo k jejich převodu na distributory</w:t>
      </w:r>
    </w:p>
    <w:p w14:paraId="272E3B00" w14:textId="07C99A14" w:rsidR="00C4229A" w:rsidRDefault="00C4229A" w:rsidP="003A33EC">
      <w:pPr>
        <w:pStyle w:val="Odstavecseseznamem"/>
        <w:numPr>
          <w:ilvl w:val="0"/>
          <w:numId w:val="15"/>
        </w:numPr>
        <w:spacing w:before="120" w:after="120"/>
        <w:ind w:left="426"/>
        <w:jc w:val="both"/>
        <w:rPr>
          <w:i/>
        </w:rPr>
      </w:pPr>
      <w:r>
        <w:rPr>
          <w:i/>
        </w:rPr>
        <w:t>Pozemek B byl prodán již v okamžiku, kdy vlastnictví k sítím bylo převedeno na jednotlivé distributory (prodeje, vklady majetku …).</w:t>
      </w:r>
    </w:p>
    <w:p w14:paraId="06FC868B" w14:textId="4BFA8E4C" w:rsidR="00C4229A" w:rsidRPr="00C4229A" w:rsidRDefault="00C4229A" w:rsidP="003A33EC">
      <w:pPr>
        <w:spacing w:before="120" w:after="120"/>
        <w:ind w:left="66"/>
        <w:jc w:val="both"/>
        <w:rPr>
          <w:i/>
        </w:rPr>
      </w:pPr>
      <w:r>
        <w:rPr>
          <w:i/>
        </w:rPr>
        <w:t>Samozřejmě je také alternativa, že si obec část sítí trvale ponechá ve svém majetku (třeba vo</w:t>
      </w:r>
      <w:r w:rsidR="003A33EC">
        <w:rPr>
          <w:i/>
        </w:rPr>
        <w:t>dovodní a kanalizační přípojka).</w:t>
      </w:r>
    </w:p>
    <w:p w14:paraId="2C244DCE" w14:textId="043C49C1" w:rsidR="00C4229A" w:rsidRPr="00C4229A" w:rsidRDefault="00C4229A" w:rsidP="00C4229A">
      <w:pPr>
        <w:spacing w:before="120" w:after="120"/>
        <w:jc w:val="both"/>
        <w:rPr>
          <w:i/>
        </w:rPr>
      </w:pPr>
      <w:r>
        <w:rPr>
          <w:i/>
        </w:rPr>
        <w:t xml:space="preserve">Pokud bychom brali v úvahu znění informace, tak v případě pozemku A by se na něj hledělo jako na zastavěný, u pozemku B jako na nezastavěný. Přitom opět podstata převodů je velice obdobná a předmětem prodeje nejsou příslušné sítě. </w:t>
      </w:r>
    </w:p>
    <w:p w14:paraId="5F46E8CD" w14:textId="77777777" w:rsidR="003A33EC" w:rsidRDefault="003A33EC" w:rsidP="00B70303">
      <w:pPr>
        <w:spacing w:before="120" w:after="120"/>
        <w:jc w:val="both"/>
      </w:pPr>
    </w:p>
    <w:p w14:paraId="18F96684" w14:textId="66912FD1" w:rsidR="00C34F3F" w:rsidRDefault="00C4229A" w:rsidP="00726845">
      <w:pPr>
        <w:spacing w:before="120" w:after="120"/>
        <w:ind w:firstLine="709"/>
        <w:jc w:val="both"/>
      </w:pPr>
      <w:r>
        <w:t>S ohledem n</w:t>
      </w:r>
      <w:r w:rsidR="002B5F0F">
        <w:t>a výše uvedené příklady žádáme</w:t>
      </w:r>
      <w:r w:rsidR="003A33EC">
        <w:t xml:space="preserve"> </w:t>
      </w:r>
      <w:r w:rsidR="00474C77">
        <w:t>o sdělení</w:t>
      </w:r>
      <w:r w:rsidR="00C34F3F">
        <w:t xml:space="preserve">, jak by obce v těchto případech měly postupovat a zda se domníváte, že rozlišení uvedené v informaci GFŘ je skutečně správné (pokud se týká sítí). </w:t>
      </w:r>
    </w:p>
    <w:p w14:paraId="6AE464C0" w14:textId="77777777" w:rsidR="00726845" w:rsidRDefault="00726845" w:rsidP="00726845">
      <w:pPr>
        <w:spacing w:before="120" w:after="120"/>
        <w:ind w:firstLine="709"/>
        <w:jc w:val="both"/>
      </w:pPr>
    </w:p>
    <w:p w14:paraId="32DE9472" w14:textId="6D2096F3" w:rsidR="00C34F3F" w:rsidRPr="00C4229A" w:rsidRDefault="00C34F3F" w:rsidP="001B7A4F">
      <w:pPr>
        <w:spacing w:before="120" w:after="120"/>
        <w:ind w:firstLine="709"/>
        <w:jc w:val="both"/>
      </w:pPr>
      <w:r>
        <w:t>Pevně věříme, že si naleznete prostor pro co nejrychlejší zodpovězení výše uvedených dotazů a také našeho dřívějšího dotazu k vymezení pojmu „podstatná změna“. Pro o</w:t>
      </w:r>
      <w:r w:rsidR="005C633C">
        <w:t xml:space="preserve">bce je naprosto nezbytné vědět, pokud možno </w:t>
      </w:r>
      <w:r>
        <w:t>v předstihu, jakým způsobem mají při převodech nemovitostí z pohledu DPH postupovat a to zejména ve vztahu k velké složitosti schvalovacích postupů. Vaše odpovědi budeme následně co nejrychlej</w:t>
      </w:r>
      <w:r w:rsidR="005C633C">
        <w:t>i distribuovat mezi naše členy.</w:t>
      </w:r>
    </w:p>
    <w:p w14:paraId="36663271" w14:textId="77777777" w:rsidR="00BD3AFB" w:rsidRDefault="00BD3AFB" w:rsidP="009A6405">
      <w:pPr>
        <w:spacing w:before="240"/>
        <w:jc w:val="both"/>
        <w:rPr>
          <w:szCs w:val="24"/>
        </w:rPr>
      </w:pPr>
    </w:p>
    <w:p w14:paraId="16845135" w14:textId="5E3A249D" w:rsidR="009A6405" w:rsidRDefault="009A6405" w:rsidP="00BD3AFB">
      <w:pPr>
        <w:spacing w:before="240"/>
        <w:ind w:firstLine="709"/>
        <w:jc w:val="both"/>
      </w:pPr>
      <w:r w:rsidRPr="00EF3442">
        <w:rPr>
          <w:szCs w:val="24"/>
        </w:rPr>
        <w:t>S</w:t>
      </w:r>
      <w:r w:rsidR="00BD3AFB">
        <w:t> </w:t>
      </w:r>
      <w:r w:rsidR="00EF3442">
        <w:t>úctou</w:t>
      </w:r>
    </w:p>
    <w:p w14:paraId="5950758F" w14:textId="77777777" w:rsidR="00BD3AFB" w:rsidRDefault="00BD3AFB" w:rsidP="00BD3AFB">
      <w:pPr>
        <w:spacing w:before="240"/>
        <w:ind w:firstLine="709"/>
        <w:jc w:val="both"/>
      </w:pPr>
    </w:p>
    <w:p w14:paraId="24B7457C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F17180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9C11F8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6A221A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AAEC1A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30852E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71E01F" w14:textId="0A7FD923" w:rsidR="00726845" w:rsidRDefault="000160F0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Příloha:</w:t>
      </w:r>
    </w:p>
    <w:p w14:paraId="7470126D" w14:textId="2BF01D03" w:rsidR="000160F0" w:rsidRPr="000160F0" w:rsidRDefault="000160F0" w:rsidP="000160F0">
      <w:pPr>
        <w:pStyle w:val="Odstavecseseznamem"/>
        <w:numPr>
          <w:ilvl w:val="0"/>
          <w:numId w:val="16"/>
        </w:numPr>
      </w:pPr>
      <w:r>
        <w:t xml:space="preserve">dopis ze dne 3.8.2015 pod </w:t>
      </w:r>
      <w:proofErr w:type="gramStart"/>
      <w:r>
        <w:t>č.j.</w:t>
      </w:r>
      <w:proofErr w:type="gramEnd"/>
      <w:r>
        <w:t>:</w:t>
      </w:r>
      <w:r w:rsidR="003842A5">
        <w:t xml:space="preserve"> </w:t>
      </w:r>
      <w:bookmarkStart w:id="0" w:name="_GoBack"/>
      <w:bookmarkEnd w:id="0"/>
      <w:r>
        <w:t>394/15</w:t>
      </w:r>
    </w:p>
    <w:p w14:paraId="1DAFD7C3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F51DCA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84D94D" w14:textId="77777777" w:rsidR="00726845" w:rsidRDefault="00726845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FAA322" w14:textId="77777777" w:rsidR="003132D3" w:rsidRPr="003A7A62" w:rsidRDefault="003132D3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Vážený pan</w:t>
      </w:r>
    </w:p>
    <w:p w14:paraId="2551218D" w14:textId="77777777" w:rsidR="003132D3" w:rsidRDefault="003132D3" w:rsidP="003132D3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Jiří Fojtík</w:t>
      </w:r>
    </w:p>
    <w:p w14:paraId="3480DBAA" w14:textId="77777777" w:rsidR="003132D3" w:rsidRDefault="003132D3" w:rsidP="003132D3">
      <w:pPr>
        <w:spacing w:line="360" w:lineRule="auto"/>
      </w:pPr>
      <w:r>
        <w:t>ředitel</w:t>
      </w:r>
    </w:p>
    <w:p w14:paraId="4E77E080" w14:textId="77777777" w:rsidR="003132D3" w:rsidRPr="003A7A62" w:rsidRDefault="003132D3" w:rsidP="003132D3">
      <w:pPr>
        <w:pStyle w:val="Nadpis1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Sekce metodiky a výkonu daní</w:t>
      </w:r>
    </w:p>
    <w:p w14:paraId="67EC5CDF" w14:textId="77777777" w:rsidR="003132D3" w:rsidRPr="003A7A62" w:rsidRDefault="003132D3" w:rsidP="003132D3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auto"/>
        </w:rPr>
      </w:pPr>
      <w:r w:rsidRPr="003A7A62">
        <w:rPr>
          <w:rFonts w:ascii="Times New Roman" w:hAnsi="Times New Roman" w:cs="Times New Roman"/>
          <w:bCs/>
          <w:color w:val="auto"/>
        </w:rPr>
        <w:t>Generální finanční ředitelství</w:t>
      </w:r>
    </w:p>
    <w:p w14:paraId="71B3D710" w14:textId="77777777" w:rsidR="003132D3" w:rsidRPr="003A7A62" w:rsidRDefault="003132D3" w:rsidP="003132D3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  <w:r w:rsidRPr="003A7A62">
        <w:rPr>
          <w:rFonts w:ascii="Times New Roman" w:hAnsi="Times New Roman" w:cs="Times New Roman"/>
          <w:color w:val="auto"/>
          <w:shd w:val="clear" w:color="auto" w:fill="FFFFFF"/>
        </w:rPr>
        <w:t>Lazarská 15/7</w:t>
      </w:r>
      <w:r w:rsidRPr="003A7A62">
        <w:rPr>
          <w:rFonts w:ascii="Times New Roman" w:hAnsi="Times New Roman" w:cs="Times New Roman"/>
          <w:color w:val="auto"/>
        </w:rPr>
        <w:br/>
      </w:r>
      <w:r w:rsidRPr="003A7A62">
        <w:rPr>
          <w:rFonts w:ascii="Times New Roman" w:hAnsi="Times New Roman" w:cs="Times New Roman"/>
          <w:color w:val="auto"/>
          <w:shd w:val="clear" w:color="auto" w:fill="FFFFFF"/>
        </w:rPr>
        <w:t>117 22 PRAHA 1 </w:t>
      </w:r>
    </w:p>
    <w:p w14:paraId="779B8C40" w14:textId="77777777" w:rsidR="00BD3AFB" w:rsidRDefault="00BD3AFB" w:rsidP="00BD3AFB">
      <w:pPr>
        <w:spacing w:before="240"/>
        <w:ind w:firstLine="709"/>
        <w:jc w:val="both"/>
      </w:pPr>
    </w:p>
    <w:p w14:paraId="792D02FA" w14:textId="6F8781CA" w:rsidR="00BD3AFB" w:rsidRPr="00451C1C" w:rsidRDefault="00BD3AFB" w:rsidP="005C633C">
      <w:pPr>
        <w:spacing w:before="240"/>
        <w:jc w:val="both"/>
      </w:pPr>
    </w:p>
    <w:sectPr w:rsidR="00BD3AFB" w:rsidRPr="00451C1C" w:rsidSect="00CB38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0758" w14:textId="77777777" w:rsidR="00752906" w:rsidRDefault="00752906">
      <w:r>
        <w:separator/>
      </w:r>
    </w:p>
  </w:endnote>
  <w:endnote w:type="continuationSeparator" w:id="0">
    <w:p w14:paraId="07D94B0A" w14:textId="77777777" w:rsidR="00752906" w:rsidRDefault="0075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3E74" w14:textId="5836EC43" w:rsidR="002B5F0F" w:rsidRDefault="002B5F0F">
    <w:pPr>
      <w:pStyle w:val="Zpat"/>
    </w:pPr>
  </w:p>
  <w:p w14:paraId="3129D392" w14:textId="77777777" w:rsidR="002B5F0F" w:rsidRPr="00195F24" w:rsidRDefault="002B5F0F" w:rsidP="002B5F0F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2CA655E4" w14:textId="77777777" w:rsidR="002B5F0F" w:rsidRDefault="002B5F0F" w:rsidP="002B5F0F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0439DB1B" w14:textId="77777777" w:rsidR="002B5F0F" w:rsidRDefault="002B5F0F" w:rsidP="002B5F0F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3A975507" w14:textId="77777777" w:rsidR="002B5F0F" w:rsidRDefault="002B5F0F" w:rsidP="002B5F0F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5AA5CC8D" w14:textId="77777777" w:rsidR="002B5F0F" w:rsidRDefault="002B5F0F" w:rsidP="002B5F0F">
    <w:pPr>
      <w:pStyle w:val="Zpat"/>
      <w:rPr>
        <w:sz w:val="16"/>
      </w:rPr>
    </w:pPr>
  </w:p>
  <w:p w14:paraId="25A5235A" w14:textId="77777777" w:rsidR="002B5F0F" w:rsidRDefault="002B5F0F" w:rsidP="002B5F0F">
    <w:pPr>
      <w:pStyle w:val="Zpat"/>
      <w:rPr>
        <w:sz w:val="16"/>
        <w:vertAlign w:val="superscript"/>
      </w:rPr>
    </w:pPr>
  </w:p>
  <w:p w14:paraId="25B999E4" w14:textId="77777777"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EFC7" w14:textId="6E2FD5DD" w:rsidR="002B5F0F" w:rsidRDefault="002B5F0F">
    <w:pPr>
      <w:pStyle w:val="Zpat"/>
    </w:pPr>
  </w:p>
  <w:p w14:paraId="3C2C5E5F" w14:textId="77777777" w:rsidR="002B5F0F" w:rsidRPr="00195F24" w:rsidRDefault="002B5F0F" w:rsidP="002B5F0F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0D2D2953" w14:textId="77777777" w:rsidR="002B5F0F" w:rsidRDefault="002B5F0F" w:rsidP="002B5F0F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1896FB38" w14:textId="77777777" w:rsidR="002B5F0F" w:rsidRDefault="002B5F0F" w:rsidP="002B5F0F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7330514F" w14:textId="77777777" w:rsidR="002B5F0F" w:rsidRDefault="002B5F0F" w:rsidP="002B5F0F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1FAC25DC" w14:textId="77777777" w:rsidR="002B5F0F" w:rsidRDefault="002B5F0F" w:rsidP="002B5F0F">
    <w:pPr>
      <w:pStyle w:val="Zpat"/>
      <w:rPr>
        <w:sz w:val="16"/>
      </w:rPr>
    </w:pPr>
  </w:p>
  <w:p w14:paraId="2A351A9A" w14:textId="77777777" w:rsidR="002B5F0F" w:rsidRDefault="002B5F0F" w:rsidP="002B5F0F">
    <w:pPr>
      <w:pStyle w:val="Zpat"/>
      <w:rPr>
        <w:sz w:val="16"/>
        <w:vertAlign w:val="superscript"/>
      </w:rPr>
    </w:pPr>
  </w:p>
  <w:p w14:paraId="29B5312B" w14:textId="77777777" w:rsidR="00CB389C" w:rsidRDefault="00CB3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EFF29" w14:textId="77777777" w:rsidR="00752906" w:rsidRDefault="00752906">
      <w:r>
        <w:separator/>
      </w:r>
    </w:p>
  </w:footnote>
  <w:footnote w:type="continuationSeparator" w:id="0">
    <w:p w14:paraId="5F171692" w14:textId="77777777" w:rsidR="00752906" w:rsidRDefault="0075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40E" w14:textId="103C86D3" w:rsidR="009117B2" w:rsidRDefault="009117B2" w:rsidP="002F4EE3">
    <w:pPr>
      <w:pStyle w:val="Zhlav"/>
    </w:pPr>
    <w:r>
      <w:tab/>
    </w:r>
    <w:r>
      <w:tab/>
    </w:r>
  </w:p>
  <w:p w14:paraId="6CD55D71" w14:textId="77777777"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E34E" w14:textId="0D585FBC" w:rsidR="002B5F0F" w:rsidRDefault="002B5F0F" w:rsidP="002B5F0F">
    <w:pPr>
      <w:pStyle w:val="Zhlav"/>
      <w:jc w:val="right"/>
    </w:pPr>
    <w:r>
      <w:rPr>
        <w:noProof/>
      </w:rPr>
      <w:drawing>
        <wp:inline distT="0" distB="0" distL="0" distR="0" wp14:anchorId="125D6A7E" wp14:editId="24CB2A48">
          <wp:extent cx="1019175" cy="66675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6B1408" w14:textId="20679BC7" w:rsidR="00CB389C" w:rsidRDefault="00CB389C" w:rsidP="00CB389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D70"/>
    <w:multiLevelType w:val="hybridMultilevel"/>
    <w:tmpl w:val="2064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548"/>
    <w:multiLevelType w:val="hybridMultilevel"/>
    <w:tmpl w:val="D980840A"/>
    <w:lvl w:ilvl="0" w:tplc="D7E2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839"/>
    <w:multiLevelType w:val="hybridMultilevel"/>
    <w:tmpl w:val="EF0C596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773E9F"/>
    <w:multiLevelType w:val="hybridMultilevel"/>
    <w:tmpl w:val="2EF0F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2F466DE"/>
    <w:multiLevelType w:val="hybridMultilevel"/>
    <w:tmpl w:val="A6CC5D38"/>
    <w:lvl w:ilvl="0" w:tplc="9B72EB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A30B09"/>
    <w:multiLevelType w:val="hybridMultilevel"/>
    <w:tmpl w:val="A6CC5D38"/>
    <w:lvl w:ilvl="0" w:tplc="9B72EB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B454A"/>
    <w:multiLevelType w:val="hybridMultilevel"/>
    <w:tmpl w:val="3CBE94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250A3"/>
    <w:multiLevelType w:val="hybridMultilevel"/>
    <w:tmpl w:val="7EBA44A8"/>
    <w:lvl w:ilvl="0" w:tplc="ECF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275E02"/>
    <w:multiLevelType w:val="hybridMultilevel"/>
    <w:tmpl w:val="EBF83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A23"/>
    <w:multiLevelType w:val="hybridMultilevel"/>
    <w:tmpl w:val="51C6A166"/>
    <w:lvl w:ilvl="0" w:tplc="355429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70F3AB5"/>
    <w:multiLevelType w:val="hybridMultilevel"/>
    <w:tmpl w:val="A78EA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13EC0"/>
    <w:multiLevelType w:val="hybridMultilevel"/>
    <w:tmpl w:val="D8E2E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47B6"/>
    <w:multiLevelType w:val="hybridMultilevel"/>
    <w:tmpl w:val="A84C0D0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378F"/>
    <w:rsid w:val="000160F0"/>
    <w:rsid w:val="000266B9"/>
    <w:rsid w:val="00040D64"/>
    <w:rsid w:val="00046702"/>
    <w:rsid w:val="00047640"/>
    <w:rsid w:val="000515F3"/>
    <w:rsid w:val="000535B1"/>
    <w:rsid w:val="00072A6B"/>
    <w:rsid w:val="00087058"/>
    <w:rsid w:val="00090745"/>
    <w:rsid w:val="00095BB6"/>
    <w:rsid w:val="000B1EA7"/>
    <w:rsid w:val="000B2624"/>
    <w:rsid w:val="000C6139"/>
    <w:rsid w:val="000C627D"/>
    <w:rsid w:val="000C67C4"/>
    <w:rsid w:val="000D5C5D"/>
    <w:rsid w:val="000E0954"/>
    <w:rsid w:val="0010649A"/>
    <w:rsid w:val="001170E0"/>
    <w:rsid w:val="001202CD"/>
    <w:rsid w:val="0013648C"/>
    <w:rsid w:val="00145F49"/>
    <w:rsid w:val="001544C9"/>
    <w:rsid w:val="00157537"/>
    <w:rsid w:val="00182C12"/>
    <w:rsid w:val="001927E1"/>
    <w:rsid w:val="00192F5E"/>
    <w:rsid w:val="00195F24"/>
    <w:rsid w:val="001A583E"/>
    <w:rsid w:val="001A76E8"/>
    <w:rsid w:val="001B0A09"/>
    <w:rsid w:val="001B7A4F"/>
    <w:rsid w:val="001E5CB3"/>
    <w:rsid w:val="00211C08"/>
    <w:rsid w:val="002127EE"/>
    <w:rsid w:val="002224B5"/>
    <w:rsid w:val="0023244A"/>
    <w:rsid w:val="00234B2C"/>
    <w:rsid w:val="002463EF"/>
    <w:rsid w:val="00254F88"/>
    <w:rsid w:val="002560FE"/>
    <w:rsid w:val="002572CC"/>
    <w:rsid w:val="0026064A"/>
    <w:rsid w:val="00260A76"/>
    <w:rsid w:val="00261645"/>
    <w:rsid w:val="00286372"/>
    <w:rsid w:val="002A2C79"/>
    <w:rsid w:val="002A6881"/>
    <w:rsid w:val="002B5F0F"/>
    <w:rsid w:val="002C1107"/>
    <w:rsid w:val="002C4723"/>
    <w:rsid w:val="002E11AC"/>
    <w:rsid w:val="002F4EE3"/>
    <w:rsid w:val="00302D9B"/>
    <w:rsid w:val="003132D3"/>
    <w:rsid w:val="00316C0D"/>
    <w:rsid w:val="00337430"/>
    <w:rsid w:val="00346B6B"/>
    <w:rsid w:val="00347A59"/>
    <w:rsid w:val="00351E95"/>
    <w:rsid w:val="00362256"/>
    <w:rsid w:val="00367F62"/>
    <w:rsid w:val="00367FA7"/>
    <w:rsid w:val="003724EF"/>
    <w:rsid w:val="00376081"/>
    <w:rsid w:val="00376ACA"/>
    <w:rsid w:val="003842A5"/>
    <w:rsid w:val="00387FA9"/>
    <w:rsid w:val="00396567"/>
    <w:rsid w:val="00396D9E"/>
    <w:rsid w:val="003A29AC"/>
    <w:rsid w:val="003A33EC"/>
    <w:rsid w:val="003C3ED3"/>
    <w:rsid w:val="003C4715"/>
    <w:rsid w:val="003E289F"/>
    <w:rsid w:val="003E2E59"/>
    <w:rsid w:val="003F7CE3"/>
    <w:rsid w:val="00410549"/>
    <w:rsid w:val="00422D77"/>
    <w:rsid w:val="00431953"/>
    <w:rsid w:val="0043382F"/>
    <w:rsid w:val="00433937"/>
    <w:rsid w:val="004519D7"/>
    <w:rsid w:val="00451C1C"/>
    <w:rsid w:val="00452901"/>
    <w:rsid w:val="004609A2"/>
    <w:rsid w:val="0046629C"/>
    <w:rsid w:val="00472B57"/>
    <w:rsid w:val="00474C77"/>
    <w:rsid w:val="00476C34"/>
    <w:rsid w:val="004837F4"/>
    <w:rsid w:val="00484DCB"/>
    <w:rsid w:val="004868F8"/>
    <w:rsid w:val="0049002A"/>
    <w:rsid w:val="0049632B"/>
    <w:rsid w:val="00496395"/>
    <w:rsid w:val="004A78AA"/>
    <w:rsid w:val="004B325E"/>
    <w:rsid w:val="004B44D5"/>
    <w:rsid w:val="004B70E6"/>
    <w:rsid w:val="004C3597"/>
    <w:rsid w:val="004D17CC"/>
    <w:rsid w:val="004E2773"/>
    <w:rsid w:val="004F1DF6"/>
    <w:rsid w:val="004F79B6"/>
    <w:rsid w:val="00506CE2"/>
    <w:rsid w:val="005117F7"/>
    <w:rsid w:val="00511C7C"/>
    <w:rsid w:val="005141AA"/>
    <w:rsid w:val="005242C8"/>
    <w:rsid w:val="0053266C"/>
    <w:rsid w:val="00535BBB"/>
    <w:rsid w:val="0054269F"/>
    <w:rsid w:val="005446D2"/>
    <w:rsid w:val="00552046"/>
    <w:rsid w:val="00554EF5"/>
    <w:rsid w:val="00564A8E"/>
    <w:rsid w:val="00582D55"/>
    <w:rsid w:val="00590BA3"/>
    <w:rsid w:val="00593318"/>
    <w:rsid w:val="00597DEC"/>
    <w:rsid w:val="005A3541"/>
    <w:rsid w:val="005A36A0"/>
    <w:rsid w:val="005A5618"/>
    <w:rsid w:val="005B00C2"/>
    <w:rsid w:val="005B4C54"/>
    <w:rsid w:val="005C1BF9"/>
    <w:rsid w:val="005C2229"/>
    <w:rsid w:val="005C5DE2"/>
    <w:rsid w:val="005C633C"/>
    <w:rsid w:val="005C6DC0"/>
    <w:rsid w:val="005D4D1F"/>
    <w:rsid w:val="005E1F1D"/>
    <w:rsid w:val="005E2276"/>
    <w:rsid w:val="005F30A0"/>
    <w:rsid w:val="0060241C"/>
    <w:rsid w:val="0060593F"/>
    <w:rsid w:val="0060625E"/>
    <w:rsid w:val="006137D9"/>
    <w:rsid w:val="00614E7F"/>
    <w:rsid w:val="00624E6A"/>
    <w:rsid w:val="0062684D"/>
    <w:rsid w:val="00633898"/>
    <w:rsid w:val="00642874"/>
    <w:rsid w:val="00643CC4"/>
    <w:rsid w:val="006478F9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6F5BA7"/>
    <w:rsid w:val="00704712"/>
    <w:rsid w:val="007161DD"/>
    <w:rsid w:val="00726845"/>
    <w:rsid w:val="00752906"/>
    <w:rsid w:val="00761A30"/>
    <w:rsid w:val="007643B4"/>
    <w:rsid w:val="00777C9B"/>
    <w:rsid w:val="007A1FE2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2622A"/>
    <w:rsid w:val="0083488D"/>
    <w:rsid w:val="00872C47"/>
    <w:rsid w:val="0088798B"/>
    <w:rsid w:val="00887F7D"/>
    <w:rsid w:val="008A26CA"/>
    <w:rsid w:val="008A4C35"/>
    <w:rsid w:val="008A6294"/>
    <w:rsid w:val="008B4725"/>
    <w:rsid w:val="008B4F20"/>
    <w:rsid w:val="008C7023"/>
    <w:rsid w:val="008D1A73"/>
    <w:rsid w:val="008D4C5E"/>
    <w:rsid w:val="008D7317"/>
    <w:rsid w:val="008F5D4B"/>
    <w:rsid w:val="009117B2"/>
    <w:rsid w:val="00932D88"/>
    <w:rsid w:val="00953167"/>
    <w:rsid w:val="00953673"/>
    <w:rsid w:val="009564C1"/>
    <w:rsid w:val="00974C6D"/>
    <w:rsid w:val="009771D6"/>
    <w:rsid w:val="00983CE6"/>
    <w:rsid w:val="009A6405"/>
    <w:rsid w:val="009C0775"/>
    <w:rsid w:val="009E17F6"/>
    <w:rsid w:val="009F32CB"/>
    <w:rsid w:val="00A064EF"/>
    <w:rsid w:val="00A1559A"/>
    <w:rsid w:val="00A33CB6"/>
    <w:rsid w:val="00A808BA"/>
    <w:rsid w:val="00A87F40"/>
    <w:rsid w:val="00A97050"/>
    <w:rsid w:val="00AA7F10"/>
    <w:rsid w:val="00AB5C31"/>
    <w:rsid w:val="00AC278D"/>
    <w:rsid w:val="00AD1705"/>
    <w:rsid w:val="00AD2013"/>
    <w:rsid w:val="00AF1147"/>
    <w:rsid w:val="00AF487E"/>
    <w:rsid w:val="00AF4AE4"/>
    <w:rsid w:val="00B0181C"/>
    <w:rsid w:val="00B123D3"/>
    <w:rsid w:val="00B26BE6"/>
    <w:rsid w:val="00B3399A"/>
    <w:rsid w:val="00B41A48"/>
    <w:rsid w:val="00B436F2"/>
    <w:rsid w:val="00B4779E"/>
    <w:rsid w:val="00B70303"/>
    <w:rsid w:val="00B80026"/>
    <w:rsid w:val="00B83B2A"/>
    <w:rsid w:val="00B9020D"/>
    <w:rsid w:val="00BA778E"/>
    <w:rsid w:val="00BB0661"/>
    <w:rsid w:val="00BB5B6B"/>
    <w:rsid w:val="00BC29D2"/>
    <w:rsid w:val="00BD3AFB"/>
    <w:rsid w:val="00C01924"/>
    <w:rsid w:val="00C34F3F"/>
    <w:rsid w:val="00C370B6"/>
    <w:rsid w:val="00C41B66"/>
    <w:rsid w:val="00C4229A"/>
    <w:rsid w:val="00C57336"/>
    <w:rsid w:val="00C61DD4"/>
    <w:rsid w:val="00C63ABC"/>
    <w:rsid w:val="00C765EC"/>
    <w:rsid w:val="00C8239A"/>
    <w:rsid w:val="00C85F92"/>
    <w:rsid w:val="00C94CA0"/>
    <w:rsid w:val="00C96195"/>
    <w:rsid w:val="00CA291A"/>
    <w:rsid w:val="00CA6310"/>
    <w:rsid w:val="00CB389C"/>
    <w:rsid w:val="00CC215A"/>
    <w:rsid w:val="00CD3ABD"/>
    <w:rsid w:val="00CD55D8"/>
    <w:rsid w:val="00CE0120"/>
    <w:rsid w:val="00CE4F18"/>
    <w:rsid w:val="00CE6CE7"/>
    <w:rsid w:val="00D1125B"/>
    <w:rsid w:val="00D12537"/>
    <w:rsid w:val="00D15A10"/>
    <w:rsid w:val="00D2634C"/>
    <w:rsid w:val="00D319A7"/>
    <w:rsid w:val="00D40694"/>
    <w:rsid w:val="00D42E81"/>
    <w:rsid w:val="00D6085F"/>
    <w:rsid w:val="00D73F0F"/>
    <w:rsid w:val="00D75ED2"/>
    <w:rsid w:val="00D83D11"/>
    <w:rsid w:val="00D86CE2"/>
    <w:rsid w:val="00DA1742"/>
    <w:rsid w:val="00DA3115"/>
    <w:rsid w:val="00DC232A"/>
    <w:rsid w:val="00DC4C5F"/>
    <w:rsid w:val="00DD7D1A"/>
    <w:rsid w:val="00E05854"/>
    <w:rsid w:val="00E07B58"/>
    <w:rsid w:val="00E206C2"/>
    <w:rsid w:val="00E22BD3"/>
    <w:rsid w:val="00E33645"/>
    <w:rsid w:val="00E35AC4"/>
    <w:rsid w:val="00E35BA4"/>
    <w:rsid w:val="00E46A7A"/>
    <w:rsid w:val="00E615AD"/>
    <w:rsid w:val="00E71037"/>
    <w:rsid w:val="00E903FE"/>
    <w:rsid w:val="00EA521D"/>
    <w:rsid w:val="00EC3B04"/>
    <w:rsid w:val="00EC5F09"/>
    <w:rsid w:val="00ED5CE2"/>
    <w:rsid w:val="00ED6B10"/>
    <w:rsid w:val="00EF3442"/>
    <w:rsid w:val="00F26170"/>
    <w:rsid w:val="00F27275"/>
    <w:rsid w:val="00F463DF"/>
    <w:rsid w:val="00F520F8"/>
    <w:rsid w:val="00F56123"/>
    <w:rsid w:val="00F601EC"/>
    <w:rsid w:val="00F624CE"/>
    <w:rsid w:val="00F63735"/>
    <w:rsid w:val="00F6778B"/>
    <w:rsid w:val="00F90733"/>
    <w:rsid w:val="00F9099F"/>
    <w:rsid w:val="00F974F1"/>
    <w:rsid w:val="00FC0F49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40FBCB63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5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5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Odstavecseseznamem">
    <w:name w:val="List Paragraph"/>
    <w:basedOn w:val="Normln"/>
    <w:uiPriority w:val="34"/>
    <w:qFormat/>
    <w:rsid w:val="00B0181C"/>
    <w:pPr>
      <w:ind w:left="720"/>
    </w:pPr>
    <w:rPr>
      <w:rFonts w:eastAsiaTheme="minorHAnsi"/>
      <w:szCs w:val="24"/>
    </w:rPr>
  </w:style>
  <w:style w:type="character" w:customStyle="1" w:styleId="DvodovzprvaChar">
    <w:name w:val="Důvodová zpráva Char"/>
    <w:basedOn w:val="Standardnpsmoodstavce"/>
    <w:link w:val="Dvodovzprva"/>
    <w:locked/>
    <w:rsid w:val="001170E0"/>
    <w:rPr>
      <w:rFonts w:ascii="Arial" w:hAnsi="Arial" w:cs="Arial"/>
      <w:color w:val="0000FF"/>
    </w:rPr>
  </w:style>
  <w:style w:type="paragraph" w:customStyle="1" w:styleId="Dvodovzprva">
    <w:name w:val="Důvodová zpráva"/>
    <w:basedOn w:val="Normln"/>
    <w:link w:val="DvodovzprvaChar"/>
    <w:rsid w:val="001170E0"/>
    <w:pPr>
      <w:keepNext/>
      <w:spacing w:before="120"/>
      <w:jc w:val="both"/>
    </w:pPr>
    <w:rPr>
      <w:rFonts w:ascii="Arial" w:hAnsi="Arial" w:cs="Arial"/>
      <w:color w:val="0000FF"/>
      <w:sz w:val="20"/>
    </w:rPr>
  </w:style>
  <w:style w:type="paragraph" w:customStyle="1" w:styleId="n00">
    <w:name w:val="n00"/>
    <w:basedOn w:val="Normln"/>
    <w:rsid w:val="004F1DF6"/>
    <w:pPr>
      <w:spacing w:before="120"/>
      <w:jc w:val="both"/>
    </w:pPr>
    <w:rPr>
      <w:sz w:val="26"/>
    </w:rPr>
  </w:style>
  <w:style w:type="character" w:customStyle="1" w:styleId="ZpatChar">
    <w:name w:val="Zápatí Char"/>
    <w:basedOn w:val="Standardnpsmoodstavce"/>
    <w:link w:val="Zpat"/>
    <w:uiPriority w:val="99"/>
    <w:rsid w:val="00CB389C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2B5F0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B5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F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5F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1224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11</cp:revision>
  <cp:lastPrinted>2015-10-07T09:30:00Z</cp:lastPrinted>
  <dcterms:created xsi:type="dcterms:W3CDTF">2015-09-23T12:21:00Z</dcterms:created>
  <dcterms:modified xsi:type="dcterms:W3CDTF">2015-10-07T09:30:00Z</dcterms:modified>
</cp:coreProperties>
</file>