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7D" w:rsidRDefault="00887F7D" w:rsidP="00590BA3">
      <w:pPr>
        <w:pStyle w:val="Zkladntextodsazen"/>
        <w:tabs>
          <w:tab w:val="center" w:pos="1276"/>
        </w:tabs>
        <w:spacing w:line="240" w:lineRule="auto"/>
        <w:ind w:firstLine="0"/>
        <w:jc w:val="left"/>
        <w:rPr>
          <w:b/>
        </w:rPr>
      </w:pPr>
    </w:p>
    <w:p w:rsidR="005B00C2" w:rsidRDefault="005B00C2" w:rsidP="00590BA3">
      <w:pPr>
        <w:pStyle w:val="Zkladntextodsazen"/>
        <w:tabs>
          <w:tab w:val="center" w:pos="1276"/>
        </w:tabs>
        <w:spacing w:line="240" w:lineRule="auto"/>
        <w:ind w:firstLine="0"/>
        <w:jc w:val="left"/>
        <w:rPr>
          <w:b/>
        </w:rPr>
      </w:pPr>
    </w:p>
    <w:p w:rsidR="00974C6D" w:rsidRPr="0016444F" w:rsidRDefault="00271CEC" w:rsidP="0016444F">
      <w:pPr>
        <w:keepNext/>
        <w:shd w:val="clear" w:color="auto" w:fill="FFFFFF"/>
        <w:spacing w:after="120"/>
      </w:pPr>
      <w:r>
        <w:rPr>
          <w:b/>
          <w:bCs/>
          <w:color w:val="000000"/>
        </w:rPr>
        <w:t xml:space="preserve">          </w:t>
      </w:r>
      <w:r w:rsidR="0032418A">
        <w:rPr>
          <w:b/>
          <w:bCs/>
          <w:color w:val="000000"/>
        </w:rPr>
        <w:t>Ing. Dan Jiránek</w:t>
      </w:r>
    </w:p>
    <w:p w:rsidR="00D73F0F" w:rsidRDefault="00271CEC" w:rsidP="0016444F">
      <w:pPr>
        <w:pStyle w:val="Zkladntextodsazen"/>
        <w:tabs>
          <w:tab w:val="center" w:pos="1276"/>
        </w:tabs>
        <w:spacing w:after="120" w:line="240" w:lineRule="auto"/>
        <w:ind w:firstLine="0"/>
        <w:rPr>
          <w:b/>
        </w:rPr>
      </w:pPr>
      <w:r>
        <w:rPr>
          <w:b/>
        </w:rPr>
        <w:t xml:space="preserve">           </w:t>
      </w:r>
      <w:r w:rsidR="00E8264E">
        <w:rPr>
          <w:b/>
        </w:rPr>
        <w:t>výkonný ředitel</w:t>
      </w:r>
    </w:p>
    <w:p w:rsidR="00F63735" w:rsidRDefault="00F63735" w:rsidP="00087058">
      <w:pPr>
        <w:jc w:val="right"/>
      </w:pPr>
    </w:p>
    <w:p w:rsidR="00F63735" w:rsidRDefault="00F63735" w:rsidP="00271CEC"/>
    <w:p w:rsidR="00BD208D" w:rsidRDefault="00BD208D" w:rsidP="00271CEC"/>
    <w:p w:rsidR="00BD208D" w:rsidRDefault="00BD208D" w:rsidP="00271CEC"/>
    <w:p w:rsidR="00087058" w:rsidRDefault="00F520F8" w:rsidP="00087058">
      <w:pPr>
        <w:jc w:val="right"/>
      </w:pPr>
      <w:r>
        <w:t xml:space="preserve">Praha, </w:t>
      </w:r>
      <w:r w:rsidR="00271CEC">
        <w:t xml:space="preserve">24. listopadu </w:t>
      </w:r>
      <w:r w:rsidR="003724EF">
        <w:t>2015</w:t>
      </w:r>
    </w:p>
    <w:p w:rsidR="00087058" w:rsidRDefault="008B4F20" w:rsidP="00087058">
      <w:pPr>
        <w:jc w:val="right"/>
        <w:rPr>
          <w:i/>
        </w:rPr>
      </w:pPr>
      <w:proofErr w:type="gramStart"/>
      <w:r>
        <w:rPr>
          <w:i/>
        </w:rPr>
        <w:t>Č.j:</w:t>
      </w:r>
      <w:r w:rsidR="00982F48">
        <w:rPr>
          <w:i/>
        </w:rPr>
        <w:t>5</w:t>
      </w:r>
      <w:r w:rsidR="00BD208D">
        <w:rPr>
          <w:i/>
        </w:rPr>
        <w:t>43</w:t>
      </w:r>
      <w:r w:rsidR="0049632B">
        <w:rPr>
          <w:i/>
        </w:rPr>
        <w:t>/</w:t>
      </w:r>
      <w:r w:rsidR="003724EF">
        <w:rPr>
          <w:i/>
        </w:rPr>
        <w:t>15</w:t>
      </w:r>
      <w:proofErr w:type="gramEnd"/>
    </w:p>
    <w:p w:rsidR="00576274" w:rsidRDefault="00576274" w:rsidP="00087058">
      <w:pPr>
        <w:jc w:val="right"/>
        <w:rPr>
          <w:i/>
        </w:rPr>
      </w:pPr>
    </w:p>
    <w:p w:rsidR="00576274" w:rsidRDefault="00576274" w:rsidP="00576274"/>
    <w:p w:rsidR="00576274" w:rsidRDefault="00576274" w:rsidP="00576274"/>
    <w:p w:rsidR="00271CEC" w:rsidRDefault="00271CEC" w:rsidP="00271CEC">
      <w:pPr>
        <w:spacing w:before="120"/>
        <w:jc w:val="both"/>
        <w:rPr>
          <w:b/>
        </w:rPr>
      </w:pPr>
      <w:r>
        <w:rPr>
          <w:b/>
        </w:rPr>
        <w:t>Podnět k novelizaci zákona č. 250/2000 Sb. (malá rozpočtová pravidla) ve vztahu k hospodaření příspěvkových organizací zřízených ÚSC.</w:t>
      </w:r>
    </w:p>
    <w:p w:rsidR="00271CEC" w:rsidRDefault="00271CEC" w:rsidP="00271CEC">
      <w:pPr>
        <w:spacing w:before="120" w:after="120"/>
        <w:jc w:val="both"/>
        <w:rPr>
          <w:szCs w:val="24"/>
        </w:rPr>
      </w:pPr>
    </w:p>
    <w:p w:rsidR="00271CEC" w:rsidRDefault="00271CEC" w:rsidP="00271CEC">
      <w:pPr>
        <w:spacing w:before="120" w:after="120"/>
        <w:jc w:val="both"/>
        <w:rPr>
          <w:color w:val="FF0000"/>
          <w:szCs w:val="24"/>
        </w:rPr>
      </w:pPr>
      <w:r>
        <w:rPr>
          <w:szCs w:val="24"/>
        </w:rPr>
        <w:t xml:space="preserve">Vážený pane </w:t>
      </w:r>
      <w:r w:rsidRPr="00BD208D">
        <w:rPr>
          <w:szCs w:val="24"/>
        </w:rPr>
        <w:t>ministře,</w:t>
      </w:r>
      <w:r>
        <w:rPr>
          <w:color w:val="FF0000"/>
          <w:szCs w:val="24"/>
        </w:rPr>
        <w:t xml:space="preserve"> </w:t>
      </w:r>
    </w:p>
    <w:p w:rsidR="00271CEC" w:rsidRDefault="00271CEC" w:rsidP="00271CEC">
      <w:pPr>
        <w:spacing w:before="240"/>
        <w:ind w:firstLine="709"/>
        <w:jc w:val="both"/>
        <w:rPr>
          <w:szCs w:val="24"/>
        </w:rPr>
      </w:pPr>
      <w:r>
        <w:rPr>
          <w:szCs w:val="24"/>
        </w:rPr>
        <w:t xml:space="preserve">obracíme se na Vás se žádostí o otevření legislativního procesu směřujícího k novelizaci vybraných ustanovení zákona č. 250/2000 Sb., o rozpočtových pravidlech územních rozpočtů v platném znění (dále jen „zákon“). V posledních 3 letech jsme se dvakrát zapojili do připomínkování návrhu novel předložených ze strany Ministerstva financí České republiky (dále jen „ministerstvo“). V rámci těchto připomínek jsme se mimo jiné snažili upozornit na oblasti, které dle našeho názoru nejsou v zákoně ošetřeny vhodným způsobem (zasahující i do oblastí, které nebyly předmětem návrhu novely ze strany ministerstva), většinou ale byly dané připomínky zamítnuty s tím, že se jedná o záležitosti nad rámec příslušné novely. Přitom jak jsme si procházeli připomínky dalších připomínkových míst zastupujících územní samosprávné celky (zejména kraje), zjišťujeme, že se jedná o problémy sdílené napříč celou Českou republikou. </w:t>
      </w:r>
    </w:p>
    <w:p w:rsidR="00271CEC" w:rsidRDefault="00271CEC" w:rsidP="00271CEC">
      <w:pPr>
        <w:spacing w:before="240"/>
        <w:ind w:firstLine="709"/>
        <w:jc w:val="both"/>
        <w:rPr>
          <w:szCs w:val="24"/>
        </w:rPr>
      </w:pPr>
      <w:r>
        <w:rPr>
          <w:szCs w:val="24"/>
        </w:rPr>
        <w:t>S ohledem na výše uvedené Vás žádáme, abyste jste se začali zabývat našimi jednotlivými podněty, které by měly z našeho pohledu přinést zlepšení a vyjasnění pravidel pro hospodaření organizací zřízených územními samosprávnými celky – konkrétně se jedná o příspěvkové organizace (§ 27 a následující ustanovení zákona).</w:t>
      </w:r>
    </w:p>
    <w:p w:rsidR="00271CEC" w:rsidRDefault="00271CEC" w:rsidP="00271CEC">
      <w:pPr>
        <w:spacing w:before="240" w:after="120"/>
        <w:jc w:val="both"/>
        <w:rPr>
          <w:szCs w:val="24"/>
        </w:rPr>
      </w:pPr>
      <w:r>
        <w:rPr>
          <w:szCs w:val="24"/>
        </w:rPr>
        <w:t>Konkrétně se jedná o tyto změny:</w:t>
      </w:r>
    </w:p>
    <w:p w:rsidR="00271CEC" w:rsidRDefault="00271CEC" w:rsidP="00271CEC">
      <w:pPr>
        <w:pStyle w:val="Odstavecseseznamem"/>
        <w:numPr>
          <w:ilvl w:val="0"/>
          <w:numId w:val="4"/>
        </w:numPr>
        <w:spacing w:before="240"/>
        <w:ind w:left="284"/>
        <w:jc w:val="both"/>
        <w:rPr>
          <w:b/>
        </w:rPr>
      </w:pPr>
      <w:r>
        <w:rPr>
          <w:b/>
        </w:rPr>
        <w:t>Odstranění povinnosti předchozího souhlasu při přijetí daru příspěvkovou organizací (§ 27 odst. 5 písmeno b) a navazující § 37b).</w:t>
      </w:r>
    </w:p>
    <w:p w:rsidR="00271CEC" w:rsidRDefault="00271CEC" w:rsidP="00271CEC">
      <w:pPr>
        <w:pStyle w:val="Odstavecseseznamem"/>
        <w:spacing w:before="240"/>
        <w:ind w:left="284"/>
        <w:jc w:val="both"/>
      </w:pPr>
      <w:r>
        <w:t xml:space="preserve">Situace, kdy je možno účelový dar přijmout pouze s předchozím souhlasem zřizovatele, je dle našeho názoru naprosto absurdní a v řadě případů velice obtížně realizovatelná (například v podmínkách provozu školských zařízení, zařízení provozujících sociální služby či muzeí). Předchozí souhlas by měl být vyžadován pouze v případech, kdy </w:t>
      </w:r>
      <w:r>
        <w:lastRenderedPageBreak/>
        <w:t>z uzavírané transakce vyplývá nějaké významné potenciální souča</w:t>
      </w:r>
      <w:bookmarkStart w:id="0" w:name="_GoBack"/>
      <w:bookmarkEnd w:id="0"/>
      <w:r>
        <w:t>sné či budoucí riziko. Pokud ale příspěvková organizace přijímá například finanční dar ve výši 1000 Kč na uspořádání „Dne dětí“, tak daná rizika dle našeho názoru neexistují. Je absurdní, že zákon v takových případech požaduje předchozí souhlas, ale v případě uzavření poradenské smlouvy s předpokládanou platbou ve výši 1 mil. Kč za rok, již tento předchozí souhlas vyžadován není. Přitom rizika negativních dopadů do hospodaření jsou nesrovnatelná.</w:t>
      </w:r>
    </w:p>
    <w:p w:rsidR="00271CEC" w:rsidRDefault="00271CEC" w:rsidP="00271CEC">
      <w:pPr>
        <w:pStyle w:val="Odstavecseseznamem"/>
        <w:spacing w:before="240"/>
        <w:ind w:left="284"/>
        <w:jc w:val="both"/>
      </w:pPr>
      <w:r>
        <w:t>S ohledem na výše uvedené požadujeme zahájit diskusi buď nad úplným odstraněním povinnosti předchozího souhlasu u přijetí darů, případně omezení případů, kdy tento souhlas bude požadován.</w:t>
      </w:r>
    </w:p>
    <w:p w:rsidR="00271CEC" w:rsidRDefault="00271CEC" w:rsidP="00271CEC">
      <w:pPr>
        <w:pStyle w:val="Odstavecseseznamem"/>
        <w:spacing w:before="240"/>
        <w:ind w:left="284"/>
        <w:jc w:val="both"/>
      </w:pPr>
      <w:r>
        <w:t xml:space="preserve">Pokud by se mělo jednat o variantu „omezení případů“, doporučujeme zejména povinnost předchozího souhlasu odstranit u přijímání finančních darů, případně i movitých věcí (zejména drobných movitostí), předchozí souhlas, který by mohl být například nezbytný u bezúplatného nabývání nemovitého majetku.  </w:t>
      </w:r>
    </w:p>
    <w:p w:rsidR="00271CEC" w:rsidRDefault="00271CEC" w:rsidP="00271CEC">
      <w:pPr>
        <w:pStyle w:val="Odstavecseseznamem"/>
        <w:numPr>
          <w:ilvl w:val="0"/>
          <w:numId w:val="4"/>
        </w:numPr>
        <w:spacing w:before="240"/>
        <w:ind w:left="284"/>
        <w:jc w:val="both"/>
        <w:rPr>
          <w:b/>
        </w:rPr>
      </w:pPr>
      <w:r>
        <w:rPr>
          <w:b/>
        </w:rPr>
        <w:t>Uvolnění zákazu poskytování darů příspěvkovými organizacemi (§ 37)</w:t>
      </w:r>
    </w:p>
    <w:p w:rsidR="00271CEC" w:rsidRDefault="00271CEC" w:rsidP="00271CEC">
      <w:pPr>
        <w:pStyle w:val="Odstavecseseznamem"/>
        <w:spacing w:before="120"/>
        <w:ind w:left="284"/>
        <w:jc w:val="both"/>
      </w:pPr>
      <w:r>
        <w:t>V hlediska praktické aplikace je třeba uvolnit možnost poskytování darů malé hodnoty v rámci své činnosti (například ZŠ věnuje věcné dary žákům v rámci svých aktivit, Domovy pro seniory věnují dary k výročí, ale třeba i příspěvkové organizace - kulturní zařízení, které daruje např. umělci, který realizoval vystoupení květinu atp.). V praxi tyto drobné dary nejrůznějšími způsoby probíhají přes ustanovení § 37 zákona (a to, že takovéto dary budou poskytovány, je obecně přijímáno jako správné).</w:t>
      </w:r>
    </w:p>
    <w:p w:rsidR="00271CEC" w:rsidRDefault="00271CEC" w:rsidP="00271CEC">
      <w:pPr>
        <w:pStyle w:val="Odstavecseseznamem"/>
        <w:spacing w:before="120"/>
        <w:ind w:left="284"/>
        <w:jc w:val="both"/>
      </w:pPr>
      <w:r>
        <w:t xml:space="preserve">Proto jsme přesvědčeni, že je vhodné řešit legalizaci poskytování darů a to v rozsahu, který bude dohodnut (znovu zdůrazňujeme, že se jedná zejména o dary, jejichž poskytování vyplývá přímo z charakteru provozované činnosti). </w:t>
      </w:r>
    </w:p>
    <w:p w:rsidR="00271CEC" w:rsidRDefault="00271CEC" w:rsidP="00271CEC">
      <w:pPr>
        <w:pStyle w:val="Odstavecseseznamem"/>
        <w:spacing w:before="120" w:after="120"/>
        <w:ind w:left="284"/>
        <w:jc w:val="both"/>
      </w:pPr>
      <w:r>
        <w:t xml:space="preserve">U těchto darů lze uvažovat o finančním omezení (např. dary v hodnotě do 500 Kč) a u darů přesahujících tuto finanční hodnotu jen s předchozím souhlasem zřizovatele (zde by daný souhlas mohl být plně na místě). </w:t>
      </w:r>
    </w:p>
    <w:p w:rsidR="00271CEC" w:rsidRDefault="00271CEC" w:rsidP="00271CEC">
      <w:pPr>
        <w:pStyle w:val="Odstavecseseznamem"/>
        <w:numPr>
          <w:ilvl w:val="0"/>
          <w:numId w:val="4"/>
        </w:numPr>
        <w:spacing w:before="240"/>
        <w:ind w:left="284"/>
        <w:jc w:val="both"/>
        <w:rPr>
          <w:b/>
        </w:rPr>
      </w:pPr>
      <w:r>
        <w:rPr>
          <w:b/>
        </w:rPr>
        <w:t>Možnost poskytnutí daru zřizovateli (případně jiným příspěvkovým organizacím zřízeným stejným zřizovatelem) bez omezení hodnoty (§ 37)</w:t>
      </w:r>
    </w:p>
    <w:p w:rsidR="00271CEC" w:rsidRDefault="00271CEC" w:rsidP="00271CEC">
      <w:pPr>
        <w:pStyle w:val="Odstavecseseznamem"/>
        <w:spacing w:before="240"/>
        <w:ind w:left="284"/>
        <w:jc w:val="both"/>
      </w:pPr>
      <w:r>
        <w:t xml:space="preserve">Ze současného ustanovení § 37 vyplývá nemožnost darování určitých věcí zřizovateli, což s ohledem na princip fungování příspěvkových organizací považujeme za nevhodné. V praxi totiž nastávají situace, kdy příspěvková organizace v průběhu své činnosti nabyla určitý majetek do svého vlastnictví, následně může dojít k omezení určité aktivity s tím, že v ní bude pokračovat zřizovatel a je třeba v této souvislosti převést vlastní majetek příspěvkové organizace na zřizovatele (případně jiné příspěvkové organizaci). </w:t>
      </w:r>
    </w:p>
    <w:p w:rsidR="00271CEC" w:rsidRDefault="00271CEC" w:rsidP="00271CEC">
      <w:pPr>
        <w:pStyle w:val="Odstavecseseznamem"/>
        <w:spacing w:before="240"/>
        <w:ind w:left="284"/>
        <w:jc w:val="both"/>
      </w:pPr>
      <w:r>
        <w:t>Možnost darování majetku by znamenala nejjednodušší majetkoprávní variantu s tím, že bychom doporučovali, aby toto darování bylo možné pouze ve vztahu ke zřizovateli, případně příspěvkové organizaci zřízené stejným zřizovatelem.</w:t>
      </w:r>
    </w:p>
    <w:p w:rsidR="00271CEC" w:rsidRDefault="00271CEC" w:rsidP="00271CEC">
      <w:pPr>
        <w:pStyle w:val="Odstavecseseznamem"/>
        <w:spacing w:before="240"/>
        <w:ind w:left="284"/>
        <w:jc w:val="both"/>
      </w:pPr>
    </w:p>
    <w:p w:rsidR="00271CEC" w:rsidRDefault="00271CEC" w:rsidP="00271CEC">
      <w:pPr>
        <w:pStyle w:val="Odstavecseseznamem"/>
        <w:numPr>
          <w:ilvl w:val="0"/>
          <w:numId w:val="4"/>
        </w:numPr>
        <w:spacing w:before="240"/>
        <w:ind w:left="284"/>
        <w:jc w:val="both"/>
        <w:rPr>
          <w:b/>
        </w:rPr>
      </w:pPr>
      <w:r>
        <w:rPr>
          <w:b/>
        </w:rPr>
        <w:t>Fond odměn – možnost jeho použití i na krytí odvodů pojistného (§ 32)</w:t>
      </w:r>
    </w:p>
    <w:p w:rsidR="00271CEC" w:rsidRDefault="00271CEC" w:rsidP="00271CEC">
      <w:pPr>
        <w:spacing w:before="120"/>
        <w:ind w:left="284"/>
        <w:jc w:val="both"/>
        <w:rPr>
          <w:szCs w:val="24"/>
        </w:rPr>
      </w:pPr>
      <w:r>
        <w:rPr>
          <w:szCs w:val="24"/>
        </w:rPr>
        <w:t>Doporučujeme definovat z čeho, je možné hradit odvody související s čerpáním fondu odměn, resp. doporučujeme, aby možným zdrojem byl právě fond odměn (případně rezervní fond).</w:t>
      </w:r>
    </w:p>
    <w:p w:rsidR="00271CEC" w:rsidRDefault="00271CEC" w:rsidP="00271CEC">
      <w:pPr>
        <w:spacing w:before="120"/>
        <w:ind w:left="284"/>
        <w:jc w:val="both"/>
        <w:rPr>
          <w:szCs w:val="24"/>
        </w:rPr>
      </w:pPr>
    </w:p>
    <w:p w:rsidR="00271CEC" w:rsidRDefault="00271CEC" w:rsidP="00271CEC">
      <w:pPr>
        <w:snapToGrid w:val="0"/>
        <w:ind w:left="284"/>
        <w:jc w:val="both"/>
        <w:rPr>
          <w:szCs w:val="24"/>
        </w:rPr>
      </w:pPr>
      <w:r>
        <w:rPr>
          <w:szCs w:val="24"/>
        </w:rPr>
        <w:t>Podle současného znění není možné z fondu odměn hradit odvody související s čerpáním fondu odměn. V praxi ale vznikají problémy, z čeho lze dané odvody uhradit. Organizace často nemají v příslušných letech ani běžné provozní prostředky na krytí daných odvodů a dostávají se tak do paradoxní situace, kdy sice mají prostředky ve fondu odměn, ale odměny vyplatit fakticky nemohou, neboť nemají prostředky na krytí souvisejících odvodů. Proto považujeme za vhodné jako jednu z variant, umožnit krytí nákladů na související odvody právě z fondu odměn.</w:t>
      </w:r>
    </w:p>
    <w:p w:rsidR="00271CEC" w:rsidRDefault="00271CEC" w:rsidP="00271CEC">
      <w:pPr>
        <w:pStyle w:val="Odstavecseseznamem"/>
        <w:numPr>
          <w:ilvl w:val="0"/>
          <w:numId w:val="4"/>
        </w:numPr>
        <w:spacing w:before="240"/>
        <w:ind w:left="284"/>
        <w:jc w:val="both"/>
        <w:rPr>
          <w:b/>
        </w:rPr>
      </w:pPr>
      <w:r>
        <w:rPr>
          <w:b/>
        </w:rPr>
        <w:t>Rezervní fond – precizace ustanovení § 30 odst. 2 písm. a) a b)</w:t>
      </w:r>
    </w:p>
    <w:p w:rsidR="00271CEC" w:rsidRDefault="00271CEC" w:rsidP="00271CEC">
      <w:pPr>
        <w:spacing w:before="120"/>
        <w:ind w:left="284"/>
        <w:jc w:val="both"/>
        <w:rPr>
          <w:szCs w:val="24"/>
        </w:rPr>
      </w:pPr>
      <w:r>
        <w:rPr>
          <w:szCs w:val="24"/>
        </w:rPr>
        <w:t xml:space="preserve">Doporučujeme precizaci vymezení, v jakých případech je možné čerpat rezervní fond podle zmíněných písmen a) a b) a to buď přímo do zákona (preferovaná varianta), případně metodickým výkladem ze strany ministerstva. </w:t>
      </w:r>
    </w:p>
    <w:p w:rsidR="00271CEC" w:rsidRDefault="00271CEC" w:rsidP="00271CEC">
      <w:pPr>
        <w:spacing w:before="120"/>
        <w:ind w:left="284"/>
        <w:jc w:val="both"/>
        <w:rPr>
          <w:szCs w:val="24"/>
        </w:rPr>
      </w:pPr>
      <w:r>
        <w:rPr>
          <w:szCs w:val="24"/>
        </w:rPr>
        <w:t xml:space="preserve">Nejednotnost výkladů následně vede ze strany kontrolních orgánů ke zbytečnému </w:t>
      </w:r>
      <w:r w:rsidRPr="00BD208D">
        <w:rPr>
          <w:szCs w:val="24"/>
        </w:rPr>
        <w:t>napadání</w:t>
      </w:r>
      <w:r>
        <w:rPr>
          <w:szCs w:val="24"/>
        </w:rPr>
        <w:t xml:space="preserve"> příspěvkových organizací za porušení rozpočtové kázně, přičemž hlavním problémem je vágnost pojmů (např. „další rozvoj“, „dočasnost“ a další). V této věci jsme samozřejmě připraveni k zapojení se do diskuse.</w:t>
      </w:r>
    </w:p>
    <w:p w:rsidR="00271CEC" w:rsidRDefault="00271CEC" w:rsidP="00271CEC">
      <w:pPr>
        <w:spacing w:before="120"/>
        <w:ind w:left="284"/>
        <w:jc w:val="both"/>
        <w:rPr>
          <w:szCs w:val="24"/>
        </w:rPr>
      </w:pPr>
    </w:p>
    <w:p w:rsidR="00271CEC" w:rsidRDefault="00271CEC" w:rsidP="00271CEC">
      <w:pPr>
        <w:pStyle w:val="Odstavecseseznamem"/>
        <w:numPr>
          <w:ilvl w:val="0"/>
          <w:numId w:val="4"/>
        </w:numPr>
        <w:spacing w:before="120" w:after="120"/>
        <w:ind w:left="283" w:hanging="357"/>
        <w:jc w:val="both"/>
        <w:rPr>
          <w:b/>
        </w:rPr>
      </w:pPr>
      <w:r>
        <w:rPr>
          <w:b/>
        </w:rPr>
        <w:t>Investiční fond – komplexnější úpravy</w:t>
      </w:r>
    </w:p>
    <w:p w:rsidR="00271CEC" w:rsidRDefault="00271CEC" w:rsidP="00271CEC">
      <w:pPr>
        <w:pStyle w:val="Odstavecseseznamem"/>
        <w:numPr>
          <w:ilvl w:val="0"/>
          <w:numId w:val="5"/>
        </w:numPr>
        <w:spacing w:before="240"/>
        <w:ind w:left="709" w:hanging="357"/>
        <w:jc w:val="both"/>
        <w:rPr>
          <w:b/>
        </w:rPr>
      </w:pPr>
      <w:r>
        <w:rPr>
          <w:b/>
        </w:rPr>
        <w:t>Otázka tvorby investičního fondu ve vazbě na odepisování majetku pořízeného (byť částečně) z investičního transferu - § 31 odst. 1 písmeno a)</w:t>
      </w:r>
    </w:p>
    <w:p w:rsidR="00271CEC" w:rsidRDefault="00271CEC" w:rsidP="00271CEC">
      <w:pPr>
        <w:pStyle w:val="Odstavecseseznamem"/>
        <w:spacing w:before="120"/>
        <w:ind w:left="709"/>
        <w:jc w:val="both"/>
      </w:pPr>
      <w:r>
        <w:t>Navrhujeme následující text, který by zapadal do současného konceptu účetního řešení:</w:t>
      </w:r>
    </w:p>
    <w:p w:rsidR="00271CEC" w:rsidRDefault="00271CEC" w:rsidP="00271CEC">
      <w:pPr>
        <w:pStyle w:val="Odstavecseseznamem"/>
        <w:spacing w:before="120"/>
        <w:ind w:left="709"/>
        <w:jc w:val="both"/>
      </w:pPr>
      <w:r>
        <w:rPr>
          <w:i/>
          <w:sz w:val="22"/>
          <w:szCs w:val="22"/>
        </w:rPr>
        <w:t>„Peněžní prostředky ve výši odpisů z hmotného a nehmotného dlouhodobého majetku</w:t>
      </w:r>
      <w:r>
        <w:rPr>
          <w:i/>
          <w:sz w:val="22"/>
          <w:szCs w:val="22"/>
          <w:vertAlign w:val="superscript"/>
        </w:rPr>
        <w:t>4)</w:t>
      </w:r>
      <w:r>
        <w:rPr>
          <w:i/>
          <w:sz w:val="22"/>
          <w:szCs w:val="22"/>
        </w:rPr>
        <w:t xml:space="preserve"> prováděné podle zřizovatelem schváleného odpisového plánu snížených o hodnotu investičního transferu zúčtovaných podle zvláštních právních předpisů do výnosů ve věcné a časové souvislosti.“</w:t>
      </w:r>
    </w:p>
    <w:p w:rsidR="00271CEC" w:rsidRDefault="00271CEC" w:rsidP="00271CEC">
      <w:pPr>
        <w:pStyle w:val="Odstavecseseznamem"/>
        <w:numPr>
          <w:ilvl w:val="0"/>
          <w:numId w:val="5"/>
        </w:numPr>
        <w:spacing w:before="240"/>
        <w:ind w:left="714" w:hanging="357"/>
        <w:jc w:val="both"/>
        <w:rPr>
          <w:b/>
        </w:rPr>
      </w:pPr>
      <w:r>
        <w:rPr>
          <w:b/>
        </w:rPr>
        <w:t>Otázka některých dalších zdrojů tvorby investičního fondu</w:t>
      </w:r>
    </w:p>
    <w:p w:rsidR="00271CEC" w:rsidRDefault="00271CEC" w:rsidP="00271CEC">
      <w:pPr>
        <w:pStyle w:val="Odstavecseseznamem"/>
        <w:spacing w:before="120"/>
        <w:jc w:val="both"/>
      </w:pPr>
      <w:r>
        <w:t>Požadujeme, aby se zdrojem investičního fondu staly i další logické případy příjmu peněžních prostředků v přímé souvislosti s nakládáním s dlouhodobým majetkem – konkrétně by se jednalo o:</w:t>
      </w:r>
    </w:p>
    <w:p w:rsidR="00271CEC" w:rsidRDefault="00271CEC" w:rsidP="00271CEC">
      <w:pPr>
        <w:pStyle w:val="Odstavecseseznamem"/>
        <w:spacing w:before="120"/>
        <w:jc w:val="both"/>
      </w:pPr>
    </w:p>
    <w:p w:rsidR="00271CEC" w:rsidRDefault="00271CEC" w:rsidP="00271CEC">
      <w:pPr>
        <w:pStyle w:val="Odstavecseseznamem"/>
        <w:numPr>
          <w:ilvl w:val="0"/>
          <w:numId w:val="6"/>
        </w:numPr>
        <w:spacing w:before="120"/>
        <w:jc w:val="both"/>
      </w:pPr>
      <w:r>
        <w:t>případy pojistných náhrad v souvislosti se škodami na dlouhodobém majetku (s výjimkou drobného dlouhodobého majetku),</w:t>
      </w:r>
    </w:p>
    <w:p w:rsidR="00271CEC" w:rsidRDefault="00271CEC" w:rsidP="00271CEC">
      <w:pPr>
        <w:pStyle w:val="Odstavecseseznamem"/>
        <w:numPr>
          <w:ilvl w:val="0"/>
          <w:numId w:val="6"/>
        </w:numPr>
        <w:spacing w:before="120"/>
        <w:jc w:val="both"/>
      </w:pPr>
      <w:r>
        <w:t>případy příjmu náhrad škod od jiných osob v souvislosti se zničením nebo poškozením dlouhodobého majetku.</w:t>
      </w:r>
    </w:p>
    <w:p w:rsidR="00271CEC" w:rsidRDefault="00271CEC" w:rsidP="00271CEC">
      <w:pPr>
        <w:spacing w:before="240"/>
        <w:jc w:val="both"/>
        <w:rPr>
          <w:szCs w:val="24"/>
        </w:rPr>
      </w:pPr>
    </w:p>
    <w:p w:rsidR="00271CEC" w:rsidRPr="00BD208D" w:rsidRDefault="00271CEC" w:rsidP="00271CEC">
      <w:pPr>
        <w:spacing w:before="240"/>
        <w:jc w:val="both"/>
        <w:rPr>
          <w:szCs w:val="24"/>
        </w:rPr>
      </w:pPr>
      <w:r w:rsidRPr="00BD208D">
        <w:rPr>
          <w:szCs w:val="24"/>
        </w:rPr>
        <w:t>Vážený pane ministře,</w:t>
      </w:r>
    </w:p>
    <w:p w:rsidR="00271CEC" w:rsidRDefault="00271CEC" w:rsidP="00271CEC">
      <w:pPr>
        <w:spacing w:before="240"/>
        <w:ind w:firstLine="709"/>
        <w:jc w:val="both"/>
        <w:rPr>
          <w:szCs w:val="24"/>
        </w:rPr>
      </w:pPr>
      <w:r w:rsidRPr="00BD208D">
        <w:rPr>
          <w:szCs w:val="24"/>
        </w:rPr>
        <w:t>pevně věříme, že</w:t>
      </w:r>
      <w:r>
        <w:rPr>
          <w:szCs w:val="24"/>
        </w:rPr>
        <w:t xml:space="preserve"> se výše uvedenými podněty budete zabývat, aby došlo k žádoucímu legislativnímu posunu v příslušném zákoně. Samozřejmě jsme připraveni k věcné diskusi o těchto návrzích. </w:t>
      </w:r>
    </w:p>
    <w:p w:rsidR="00271CEC" w:rsidRDefault="00271CEC" w:rsidP="00271CEC">
      <w:pPr>
        <w:spacing w:before="240"/>
        <w:ind w:firstLine="709"/>
        <w:jc w:val="both"/>
        <w:rPr>
          <w:szCs w:val="24"/>
        </w:rPr>
      </w:pPr>
    </w:p>
    <w:p w:rsidR="00271CEC" w:rsidRDefault="00271CEC" w:rsidP="00271CEC">
      <w:pPr>
        <w:spacing w:before="240"/>
        <w:ind w:firstLine="709"/>
        <w:jc w:val="both"/>
        <w:rPr>
          <w:szCs w:val="24"/>
        </w:rPr>
      </w:pPr>
    </w:p>
    <w:p w:rsidR="00271CEC" w:rsidRDefault="00271CEC" w:rsidP="00271CEC">
      <w:pPr>
        <w:spacing w:before="240"/>
        <w:ind w:firstLine="709"/>
        <w:jc w:val="both"/>
      </w:pPr>
      <w:r>
        <w:t>S úctou</w:t>
      </w:r>
    </w:p>
    <w:p w:rsidR="00271CEC" w:rsidRDefault="00271CEC" w:rsidP="00271CEC">
      <w:pPr>
        <w:spacing w:before="240"/>
        <w:ind w:firstLine="709"/>
        <w:jc w:val="both"/>
      </w:pPr>
    </w:p>
    <w:p w:rsidR="00271CEC" w:rsidRDefault="00271CEC" w:rsidP="00271CEC">
      <w:pPr>
        <w:spacing w:before="240"/>
        <w:ind w:firstLine="709"/>
        <w:jc w:val="both"/>
      </w:pPr>
    </w:p>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Default="00271CEC" w:rsidP="00271CEC"/>
    <w:p w:rsidR="00271CEC" w:rsidRPr="00BD208D" w:rsidRDefault="00271CEC" w:rsidP="00271CEC">
      <w:r w:rsidRPr="00BD208D">
        <w:t>Vážený pan</w:t>
      </w:r>
    </w:p>
    <w:p w:rsidR="00271CEC" w:rsidRPr="00BD208D" w:rsidRDefault="00271CEC" w:rsidP="00271CEC">
      <w:pPr>
        <w:rPr>
          <w:b/>
        </w:rPr>
      </w:pPr>
      <w:r w:rsidRPr="00BD208D">
        <w:rPr>
          <w:b/>
        </w:rPr>
        <w:t>Ing. Andrej Babiš</w:t>
      </w:r>
    </w:p>
    <w:p w:rsidR="00271CEC" w:rsidRPr="00BD208D" w:rsidRDefault="00271CEC" w:rsidP="00271CEC">
      <w:r w:rsidRPr="00BD208D">
        <w:t>1.</w:t>
      </w:r>
      <w:r w:rsidR="00BD208D">
        <w:t xml:space="preserve"> </w:t>
      </w:r>
      <w:r w:rsidRPr="00BD208D">
        <w:t>místopředseda vlády a ministr financí</w:t>
      </w:r>
    </w:p>
    <w:p w:rsidR="00271CEC" w:rsidRPr="00BD208D" w:rsidRDefault="00271CEC" w:rsidP="00271CEC">
      <w:r w:rsidRPr="00BD208D">
        <w:t>Ministerstvo financí ČR</w:t>
      </w:r>
    </w:p>
    <w:p w:rsidR="00271CEC" w:rsidRPr="00BD208D" w:rsidRDefault="00271CEC" w:rsidP="00271CEC">
      <w:r w:rsidRPr="00BD208D">
        <w:t>Letenská 15</w:t>
      </w:r>
    </w:p>
    <w:p w:rsidR="00271CEC" w:rsidRDefault="00271CEC" w:rsidP="00271CEC">
      <w:r w:rsidRPr="00BD208D">
        <w:t>118 10 Praha 1</w:t>
      </w:r>
    </w:p>
    <w:p w:rsidR="00271CEC" w:rsidRDefault="00271CEC" w:rsidP="00271CEC">
      <w:pPr>
        <w:spacing w:before="240"/>
        <w:ind w:firstLine="709"/>
        <w:jc w:val="both"/>
      </w:pPr>
      <w:r>
        <w:t xml:space="preserve"> </w:t>
      </w:r>
    </w:p>
    <w:p w:rsidR="00576274" w:rsidRDefault="00576274" w:rsidP="00576274"/>
    <w:p w:rsidR="00387FA9" w:rsidRPr="00387FA9" w:rsidRDefault="00387FA9" w:rsidP="00387FA9">
      <w:pPr>
        <w:spacing w:after="120"/>
        <w:rPr>
          <w:color w:val="000000"/>
          <w:szCs w:val="24"/>
        </w:rPr>
      </w:pPr>
    </w:p>
    <w:sectPr w:rsidR="00387FA9" w:rsidRPr="00387FA9">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A7" w:rsidRDefault="00367FA7">
      <w:r>
        <w:separator/>
      </w:r>
    </w:p>
  </w:endnote>
  <w:endnote w:type="continuationSeparator" w:id="0">
    <w:p w:rsidR="00367FA7" w:rsidRDefault="0036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B2" w:rsidRDefault="009117B2">
    <w:pPr>
      <w:pStyle w:val="Zpat"/>
      <w:framePr w:wrap="around" w:vAnchor="text" w:hAnchor="margin" w:xAlign="center" w:y="1"/>
      <w:rPr>
        <w:rStyle w:val="slostrnky"/>
      </w:rPr>
    </w:pPr>
  </w:p>
  <w:p w:rsidR="009117B2" w:rsidRPr="00195F24" w:rsidRDefault="009117B2" w:rsidP="002F4EE3">
    <w:pPr>
      <w:pStyle w:val="Zpat"/>
      <w:rPr>
        <w:sz w:val="16"/>
        <w:u w:val="single"/>
        <w:vertAlign w:val="superscript"/>
      </w:rPr>
    </w:pPr>
    <w:r w:rsidRPr="00195F24">
      <w:rPr>
        <w:sz w:val="16"/>
        <w:u w:val="single"/>
        <w:vertAlign w:val="superscript"/>
      </w:rPr>
      <w:t>______________________________________________________________________________________________________________________________________________________</w:t>
    </w:r>
    <w:r>
      <w:rPr>
        <w:sz w:val="16"/>
        <w:u w:val="single"/>
        <w:vertAlign w:val="superscript"/>
      </w:rPr>
      <w:t>_</w:t>
    </w:r>
    <w:r w:rsidRPr="00195F24">
      <w:rPr>
        <w:sz w:val="16"/>
        <w:u w:val="single"/>
        <w:vertAlign w:val="superscript"/>
      </w:rPr>
      <w:t>______________________________</w:t>
    </w:r>
  </w:p>
  <w:p w:rsidR="009117B2" w:rsidRDefault="009117B2" w:rsidP="002F4EE3">
    <w:pPr>
      <w:pStyle w:val="Zpat"/>
      <w:rPr>
        <w:sz w:val="16"/>
      </w:rPr>
    </w:pPr>
    <w:smartTag w:uri="urn:schemas-microsoft-com:office:smarttags" w:element="date">
      <w:smartTagPr>
        <w:attr w:name="ls" w:val="trans"/>
        <w:attr w:name="Month" w:val="5"/>
        <w:attr w:name="Day" w:val="5"/>
        <w:attr w:name="Year" w:val="16"/>
      </w:smartTagPr>
      <w:r>
        <w:rPr>
          <w:sz w:val="16"/>
        </w:rPr>
        <w:t>5. května 16</w:t>
      </w:r>
    </w:smartTag>
    <w:r>
      <w:rPr>
        <w:sz w:val="16"/>
      </w:rPr>
      <w:t xml:space="preserve">40/65                                                                     </w:t>
    </w:r>
    <w:proofErr w:type="gramStart"/>
    <w:r>
      <w:rPr>
        <w:sz w:val="16"/>
      </w:rPr>
      <w:t>Tel.:  234709711</w:t>
    </w:r>
    <w:proofErr w:type="gramEnd"/>
    <w:r>
      <w:rPr>
        <w:sz w:val="16"/>
      </w:rPr>
      <w:t xml:space="preserve">                                        </w:t>
    </w:r>
    <w:r w:rsidR="00F463DF">
      <w:rPr>
        <w:sz w:val="16"/>
      </w:rPr>
      <w:t xml:space="preserve">  </w:t>
    </w:r>
    <w:r>
      <w:rPr>
        <w:sz w:val="16"/>
      </w:rPr>
      <w:t xml:space="preserve">    IČ: 63113074, DIČ: CZ63113074</w:t>
    </w:r>
  </w:p>
  <w:p w:rsidR="009117B2" w:rsidRDefault="009117B2" w:rsidP="002F4EE3">
    <w:pPr>
      <w:pStyle w:val="Zpat"/>
      <w:rPr>
        <w:sz w:val="16"/>
      </w:rPr>
    </w:pPr>
    <w:proofErr w:type="gramStart"/>
    <w:r>
      <w:rPr>
        <w:sz w:val="16"/>
      </w:rPr>
      <w:t xml:space="preserve">140 </w:t>
    </w:r>
    <w:r w:rsidR="00F463DF">
      <w:rPr>
        <w:sz w:val="16"/>
      </w:rPr>
      <w:t>00</w:t>
    </w:r>
    <w:r>
      <w:rPr>
        <w:sz w:val="16"/>
      </w:rPr>
      <w:t xml:space="preserve">  Praha</w:t>
    </w:r>
    <w:proofErr w:type="gramEnd"/>
    <w:r>
      <w:rPr>
        <w:sz w:val="16"/>
      </w:rPr>
      <w:t xml:space="preserve"> 4                                                                         Fax:  234709786                                                </w:t>
    </w:r>
    <w:proofErr w:type="spellStart"/>
    <w:r>
      <w:rPr>
        <w:sz w:val="16"/>
      </w:rPr>
      <w:t>Bank.spoj</w:t>
    </w:r>
    <w:proofErr w:type="spellEnd"/>
    <w:r>
      <w:rPr>
        <w:sz w:val="16"/>
      </w:rPr>
      <w:t>.: Komerční banka, a.s.</w:t>
    </w:r>
  </w:p>
  <w:p w:rsidR="009117B2" w:rsidRDefault="009117B2" w:rsidP="002F4EE3">
    <w:pPr>
      <w:pStyle w:val="Zpat"/>
      <w:rPr>
        <w:sz w:val="16"/>
      </w:rPr>
    </w:pPr>
    <w:r>
      <w:rPr>
        <w:sz w:val="16"/>
      </w:rPr>
      <w:t xml:space="preserve">Česká republika                                                                        e-mail: smocr@smocr.cz                                              </w:t>
    </w:r>
    <w:proofErr w:type="spellStart"/>
    <w:proofErr w:type="gramStart"/>
    <w:r>
      <w:rPr>
        <w:sz w:val="16"/>
      </w:rPr>
      <w:t>č.ú</w:t>
    </w:r>
    <w:proofErr w:type="spellEnd"/>
    <w:r>
      <w:rPr>
        <w:sz w:val="16"/>
      </w:rPr>
      <w:t>.: 19</w:t>
    </w:r>
    <w:proofErr w:type="gramEnd"/>
    <w:r>
      <w:rPr>
        <w:sz w:val="16"/>
      </w:rPr>
      <w:t xml:space="preserve">-9221540247/0100                                                 </w:t>
    </w:r>
    <w:r>
      <w:rPr>
        <w:sz w:val="16"/>
      </w:rPr>
      <w:tab/>
      <w:t xml:space="preserve"> htt://www.smocr.cz                                                 </w:t>
    </w:r>
  </w:p>
  <w:p w:rsidR="009117B2" w:rsidRDefault="009117B2" w:rsidP="002F4EE3">
    <w:pPr>
      <w:pStyle w:val="Zpat"/>
      <w:rPr>
        <w:sz w:val="16"/>
      </w:rPr>
    </w:pPr>
  </w:p>
  <w:p w:rsidR="009117B2" w:rsidRDefault="009117B2">
    <w:pPr>
      <w:pStyle w:val="Zpat"/>
      <w:rPr>
        <w:sz w:val="16"/>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A7" w:rsidRDefault="00367FA7">
      <w:r>
        <w:separator/>
      </w:r>
    </w:p>
  </w:footnote>
  <w:footnote w:type="continuationSeparator" w:id="0">
    <w:p w:rsidR="00367FA7" w:rsidRDefault="0036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7B2" w:rsidRDefault="009117B2" w:rsidP="002F4EE3">
    <w:pPr>
      <w:pStyle w:val="Zhlav"/>
    </w:pPr>
    <w:r>
      <w:tab/>
    </w:r>
    <w:r>
      <w:tab/>
    </w:r>
    <w:r w:rsidR="00047640">
      <w:rPr>
        <w:noProof/>
      </w:rPr>
      <w:drawing>
        <wp:inline distT="0" distB="0" distL="0" distR="0">
          <wp:extent cx="1019175" cy="66675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19175" cy="666750"/>
                  </a:xfrm>
                  <a:prstGeom prst="rect">
                    <a:avLst/>
                  </a:prstGeom>
                  <a:noFill/>
                  <a:ln w="9525">
                    <a:noFill/>
                    <a:miter lim="800000"/>
                    <a:headEnd/>
                    <a:tailEnd/>
                  </a:ln>
                </pic:spPr>
              </pic:pic>
            </a:graphicData>
          </a:graphic>
        </wp:inline>
      </w:drawing>
    </w:r>
  </w:p>
  <w:p w:rsidR="009117B2" w:rsidRDefault="009117B2">
    <w:pPr>
      <w:pStyle w:val="Zhlav"/>
      <w:rPr>
        <w:b/>
        <w:sz w:val="22"/>
      </w:rPr>
    </w:pPr>
    <w:r>
      <w:tab/>
    </w:r>
    <w:r>
      <w:tab/>
    </w:r>
    <w:r>
      <w:rPr>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19E2"/>
    <w:multiLevelType w:val="hybridMultilevel"/>
    <w:tmpl w:val="D508372A"/>
    <w:lvl w:ilvl="0" w:tplc="7F76679A">
      <w:numFmt w:val="bullet"/>
      <w:lvlText w:val="-"/>
      <w:lvlJc w:val="left"/>
      <w:pPr>
        <w:tabs>
          <w:tab w:val="num" w:pos="720"/>
        </w:tabs>
        <w:ind w:left="720" w:hanging="360"/>
      </w:pPr>
      <w:rPr>
        <w:rFonts w:ascii="Times New Roman" w:eastAsia="Times New Roman" w:hAnsi="Times New Roman" w:cs="Times New Roman" w:hint="default"/>
      </w:rPr>
    </w:lvl>
    <w:lvl w:ilvl="1" w:tplc="E7B80F2E" w:tentative="1">
      <w:start w:val="1"/>
      <w:numFmt w:val="bullet"/>
      <w:lvlText w:val="o"/>
      <w:lvlJc w:val="left"/>
      <w:pPr>
        <w:tabs>
          <w:tab w:val="num" w:pos="1440"/>
        </w:tabs>
        <w:ind w:left="1440" w:hanging="360"/>
      </w:pPr>
      <w:rPr>
        <w:rFonts w:ascii="Courier New" w:hAnsi="Courier New" w:hint="default"/>
      </w:rPr>
    </w:lvl>
    <w:lvl w:ilvl="2" w:tplc="B48A909A" w:tentative="1">
      <w:start w:val="1"/>
      <w:numFmt w:val="bullet"/>
      <w:lvlText w:val=""/>
      <w:lvlJc w:val="left"/>
      <w:pPr>
        <w:tabs>
          <w:tab w:val="num" w:pos="2160"/>
        </w:tabs>
        <w:ind w:left="2160" w:hanging="360"/>
      </w:pPr>
      <w:rPr>
        <w:rFonts w:ascii="Wingdings" w:hAnsi="Wingdings" w:hint="default"/>
      </w:rPr>
    </w:lvl>
    <w:lvl w:ilvl="3" w:tplc="D1BE1620" w:tentative="1">
      <w:start w:val="1"/>
      <w:numFmt w:val="bullet"/>
      <w:lvlText w:val=""/>
      <w:lvlJc w:val="left"/>
      <w:pPr>
        <w:tabs>
          <w:tab w:val="num" w:pos="2880"/>
        </w:tabs>
        <w:ind w:left="2880" w:hanging="360"/>
      </w:pPr>
      <w:rPr>
        <w:rFonts w:ascii="Symbol" w:hAnsi="Symbol" w:hint="default"/>
      </w:rPr>
    </w:lvl>
    <w:lvl w:ilvl="4" w:tplc="25EADD62" w:tentative="1">
      <w:start w:val="1"/>
      <w:numFmt w:val="bullet"/>
      <w:lvlText w:val="o"/>
      <w:lvlJc w:val="left"/>
      <w:pPr>
        <w:tabs>
          <w:tab w:val="num" w:pos="3600"/>
        </w:tabs>
        <w:ind w:left="3600" w:hanging="360"/>
      </w:pPr>
      <w:rPr>
        <w:rFonts w:ascii="Courier New" w:hAnsi="Courier New" w:hint="default"/>
      </w:rPr>
    </w:lvl>
    <w:lvl w:ilvl="5" w:tplc="83CC8D3C" w:tentative="1">
      <w:start w:val="1"/>
      <w:numFmt w:val="bullet"/>
      <w:lvlText w:val=""/>
      <w:lvlJc w:val="left"/>
      <w:pPr>
        <w:tabs>
          <w:tab w:val="num" w:pos="4320"/>
        </w:tabs>
        <w:ind w:left="4320" w:hanging="360"/>
      </w:pPr>
      <w:rPr>
        <w:rFonts w:ascii="Wingdings" w:hAnsi="Wingdings" w:hint="default"/>
      </w:rPr>
    </w:lvl>
    <w:lvl w:ilvl="6" w:tplc="A942B236" w:tentative="1">
      <w:start w:val="1"/>
      <w:numFmt w:val="bullet"/>
      <w:lvlText w:val=""/>
      <w:lvlJc w:val="left"/>
      <w:pPr>
        <w:tabs>
          <w:tab w:val="num" w:pos="5040"/>
        </w:tabs>
        <w:ind w:left="5040" w:hanging="360"/>
      </w:pPr>
      <w:rPr>
        <w:rFonts w:ascii="Symbol" w:hAnsi="Symbol" w:hint="default"/>
      </w:rPr>
    </w:lvl>
    <w:lvl w:ilvl="7" w:tplc="5B46FAD4" w:tentative="1">
      <w:start w:val="1"/>
      <w:numFmt w:val="bullet"/>
      <w:lvlText w:val="o"/>
      <w:lvlJc w:val="left"/>
      <w:pPr>
        <w:tabs>
          <w:tab w:val="num" w:pos="5760"/>
        </w:tabs>
        <w:ind w:left="5760" w:hanging="360"/>
      </w:pPr>
      <w:rPr>
        <w:rFonts w:ascii="Courier New" w:hAnsi="Courier New" w:hint="default"/>
      </w:rPr>
    </w:lvl>
    <w:lvl w:ilvl="8" w:tplc="48DCA71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BC0203"/>
    <w:multiLevelType w:val="hybridMultilevel"/>
    <w:tmpl w:val="1640E72E"/>
    <w:lvl w:ilvl="0" w:tplc="DC0448CC">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42963B0E"/>
    <w:multiLevelType w:val="hybridMultilevel"/>
    <w:tmpl w:val="5B8C5D2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D1601E4"/>
    <w:multiLevelType w:val="hybridMultilevel"/>
    <w:tmpl w:val="E0DCD572"/>
    <w:lvl w:ilvl="0" w:tplc="8FD0A3BE">
      <w:start w:val="1"/>
      <w:numFmt w:val="lowerLetter"/>
      <w:lvlText w:val="%1)"/>
      <w:lvlJc w:val="left"/>
      <w:pPr>
        <w:tabs>
          <w:tab w:val="num" w:pos="720"/>
        </w:tabs>
        <w:ind w:left="720" w:hanging="360"/>
      </w:pPr>
      <w:rPr>
        <w:rFonts w:hint="default"/>
      </w:rPr>
    </w:lvl>
    <w:lvl w:ilvl="1" w:tplc="1E8E85BC" w:tentative="1">
      <w:start w:val="1"/>
      <w:numFmt w:val="lowerLetter"/>
      <w:lvlText w:val="%2."/>
      <w:lvlJc w:val="left"/>
      <w:pPr>
        <w:tabs>
          <w:tab w:val="num" w:pos="1440"/>
        </w:tabs>
        <w:ind w:left="1440" w:hanging="360"/>
      </w:pPr>
    </w:lvl>
    <w:lvl w:ilvl="2" w:tplc="EB9A35E2" w:tentative="1">
      <w:start w:val="1"/>
      <w:numFmt w:val="lowerRoman"/>
      <w:lvlText w:val="%3."/>
      <w:lvlJc w:val="right"/>
      <w:pPr>
        <w:tabs>
          <w:tab w:val="num" w:pos="2160"/>
        </w:tabs>
        <w:ind w:left="2160" w:hanging="180"/>
      </w:pPr>
    </w:lvl>
    <w:lvl w:ilvl="3" w:tplc="AC38775C" w:tentative="1">
      <w:start w:val="1"/>
      <w:numFmt w:val="decimal"/>
      <w:lvlText w:val="%4."/>
      <w:lvlJc w:val="left"/>
      <w:pPr>
        <w:tabs>
          <w:tab w:val="num" w:pos="2880"/>
        </w:tabs>
        <w:ind w:left="2880" w:hanging="360"/>
      </w:pPr>
    </w:lvl>
    <w:lvl w:ilvl="4" w:tplc="9E0237B0" w:tentative="1">
      <w:start w:val="1"/>
      <w:numFmt w:val="lowerLetter"/>
      <w:lvlText w:val="%5."/>
      <w:lvlJc w:val="left"/>
      <w:pPr>
        <w:tabs>
          <w:tab w:val="num" w:pos="3600"/>
        </w:tabs>
        <w:ind w:left="3600" w:hanging="360"/>
      </w:pPr>
    </w:lvl>
    <w:lvl w:ilvl="5" w:tplc="CBAE793A" w:tentative="1">
      <w:start w:val="1"/>
      <w:numFmt w:val="lowerRoman"/>
      <w:lvlText w:val="%6."/>
      <w:lvlJc w:val="right"/>
      <w:pPr>
        <w:tabs>
          <w:tab w:val="num" w:pos="4320"/>
        </w:tabs>
        <w:ind w:left="4320" w:hanging="180"/>
      </w:pPr>
    </w:lvl>
    <w:lvl w:ilvl="6" w:tplc="3C365490" w:tentative="1">
      <w:start w:val="1"/>
      <w:numFmt w:val="decimal"/>
      <w:lvlText w:val="%7."/>
      <w:lvlJc w:val="left"/>
      <w:pPr>
        <w:tabs>
          <w:tab w:val="num" w:pos="5040"/>
        </w:tabs>
        <w:ind w:left="5040" w:hanging="360"/>
      </w:pPr>
    </w:lvl>
    <w:lvl w:ilvl="7" w:tplc="91D296D2" w:tentative="1">
      <w:start w:val="1"/>
      <w:numFmt w:val="lowerLetter"/>
      <w:lvlText w:val="%8."/>
      <w:lvlJc w:val="left"/>
      <w:pPr>
        <w:tabs>
          <w:tab w:val="num" w:pos="5760"/>
        </w:tabs>
        <w:ind w:left="5760" w:hanging="360"/>
      </w:pPr>
    </w:lvl>
    <w:lvl w:ilvl="8" w:tplc="96E43AA8" w:tentative="1">
      <w:start w:val="1"/>
      <w:numFmt w:val="lowerRoman"/>
      <w:lvlText w:val="%9."/>
      <w:lvlJc w:val="right"/>
      <w:pPr>
        <w:tabs>
          <w:tab w:val="num" w:pos="6480"/>
        </w:tabs>
        <w:ind w:left="6480" w:hanging="180"/>
      </w:pPr>
    </w:lvl>
  </w:abstractNum>
  <w:abstractNum w:abstractNumId="4" w15:restartNumberingAfterBreak="0">
    <w:nsid w:val="4F4004A5"/>
    <w:multiLevelType w:val="hybridMultilevel"/>
    <w:tmpl w:val="93DC00DC"/>
    <w:lvl w:ilvl="0" w:tplc="7732267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0EC37C7"/>
    <w:multiLevelType w:val="hybridMultilevel"/>
    <w:tmpl w:val="22789642"/>
    <w:lvl w:ilvl="0" w:tplc="9B3E42FC">
      <w:start w:val="1"/>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67F62"/>
    <w:rsid w:val="0001378F"/>
    <w:rsid w:val="000266B9"/>
    <w:rsid w:val="00040D64"/>
    <w:rsid w:val="00046702"/>
    <w:rsid w:val="00047640"/>
    <w:rsid w:val="000535B1"/>
    <w:rsid w:val="00072A6B"/>
    <w:rsid w:val="00087058"/>
    <w:rsid w:val="00090745"/>
    <w:rsid w:val="00095BB6"/>
    <w:rsid w:val="000B2624"/>
    <w:rsid w:val="000C6139"/>
    <w:rsid w:val="000C627D"/>
    <w:rsid w:val="000C67C4"/>
    <w:rsid w:val="000E0954"/>
    <w:rsid w:val="0010649A"/>
    <w:rsid w:val="001202CD"/>
    <w:rsid w:val="0013648C"/>
    <w:rsid w:val="00145F49"/>
    <w:rsid w:val="001544C9"/>
    <w:rsid w:val="00157537"/>
    <w:rsid w:val="0016444F"/>
    <w:rsid w:val="001927E1"/>
    <w:rsid w:val="00195F24"/>
    <w:rsid w:val="001A76E8"/>
    <w:rsid w:val="001B0A09"/>
    <w:rsid w:val="002224B5"/>
    <w:rsid w:val="0023244A"/>
    <w:rsid w:val="00234B2C"/>
    <w:rsid w:val="00254F88"/>
    <w:rsid w:val="002560FE"/>
    <w:rsid w:val="002572CC"/>
    <w:rsid w:val="00260A76"/>
    <w:rsid w:val="00261645"/>
    <w:rsid w:val="00271CEC"/>
    <w:rsid w:val="00286372"/>
    <w:rsid w:val="002A6881"/>
    <w:rsid w:val="002C4723"/>
    <w:rsid w:val="002E11AC"/>
    <w:rsid w:val="002F4EE3"/>
    <w:rsid w:val="00302D9B"/>
    <w:rsid w:val="0032418A"/>
    <w:rsid w:val="00347A59"/>
    <w:rsid w:val="00351E95"/>
    <w:rsid w:val="00362256"/>
    <w:rsid w:val="00367F62"/>
    <w:rsid w:val="00367FA7"/>
    <w:rsid w:val="003724EF"/>
    <w:rsid w:val="00376081"/>
    <w:rsid w:val="00376ACA"/>
    <w:rsid w:val="00387FA9"/>
    <w:rsid w:val="00396D9E"/>
    <w:rsid w:val="003A29AC"/>
    <w:rsid w:val="003C4715"/>
    <w:rsid w:val="003E289F"/>
    <w:rsid w:val="00410549"/>
    <w:rsid w:val="00422D77"/>
    <w:rsid w:val="00431953"/>
    <w:rsid w:val="0043382F"/>
    <w:rsid w:val="00433937"/>
    <w:rsid w:val="00452901"/>
    <w:rsid w:val="004609A2"/>
    <w:rsid w:val="0046629C"/>
    <w:rsid w:val="00472B57"/>
    <w:rsid w:val="00476C34"/>
    <w:rsid w:val="004837F4"/>
    <w:rsid w:val="0049002A"/>
    <w:rsid w:val="0049632B"/>
    <w:rsid w:val="004A78AA"/>
    <w:rsid w:val="004B325E"/>
    <w:rsid w:val="004B44D5"/>
    <w:rsid w:val="004B70E6"/>
    <w:rsid w:val="004C3597"/>
    <w:rsid w:val="004E2773"/>
    <w:rsid w:val="00506CE2"/>
    <w:rsid w:val="005117F7"/>
    <w:rsid w:val="00511C7C"/>
    <w:rsid w:val="005141AA"/>
    <w:rsid w:val="005242C8"/>
    <w:rsid w:val="00535BBB"/>
    <w:rsid w:val="005446D2"/>
    <w:rsid w:val="00552046"/>
    <w:rsid w:val="00554EF5"/>
    <w:rsid w:val="00564A8E"/>
    <w:rsid w:val="00576274"/>
    <w:rsid w:val="00590BA3"/>
    <w:rsid w:val="005A3541"/>
    <w:rsid w:val="005A36A0"/>
    <w:rsid w:val="005A5618"/>
    <w:rsid w:val="005B00C2"/>
    <w:rsid w:val="005B4C54"/>
    <w:rsid w:val="005C1BF9"/>
    <w:rsid w:val="005C2229"/>
    <w:rsid w:val="005C5DE2"/>
    <w:rsid w:val="005C6DC0"/>
    <w:rsid w:val="005D4D1F"/>
    <w:rsid w:val="005E1F1D"/>
    <w:rsid w:val="005E2276"/>
    <w:rsid w:val="005F30A0"/>
    <w:rsid w:val="0060593F"/>
    <w:rsid w:val="0060625E"/>
    <w:rsid w:val="006137D9"/>
    <w:rsid w:val="00614E7F"/>
    <w:rsid w:val="00624E6A"/>
    <w:rsid w:val="00633898"/>
    <w:rsid w:val="00642874"/>
    <w:rsid w:val="00643CC4"/>
    <w:rsid w:val="00667DDC"/>
    <w:rsid w:val="0067025F"/>
    <w:rsid w:val="00674EFC"/>
    <w:rsid w:val="00675B6F"/>
    <w:rsid w:val="00694E56"/>
    <w:rsid w:val="006B38E2"/>
    <w:rsid w:val="006C4C59"/>
    <w:rsid w:val="006E0693"/>
    <w:rsid w:val="006E1C7A"/>
    <w:rsid w:val="006E68B1"/>
    <w:rsid w:val="006E6AC3"/>
    <w:rsid w:val="00704712"/>
    <w:rsid w:val="007161DD"/>
    <w:rsid w:val="00761A30"/>
    <w:rsid w:val="007B0C29"/>
    <w:rsid w:val="007B15A0"/>
    <w:rsid w:val="007B33EC"/>
    <w:rsid w:val="007C22CE"/>
    <w:rsid w:val="007D6BE9"/>
    <w:rsid w:val="007E4450"/>
    <w:rsid w:val="007F611F"/>
    <w:rsid w:val="008031E4"/>
    <w:rsid w:val="00813E69"/>
    <w:rsid w:val="008257DD"/>
    <w:rsid w:val="00887F7D"/>
    <w:rsid w:val="008A26CA"/>
    <w:rsid w:val="008A4C35"/>
    <w:rsid w:val="008A6294"/>
    <w:rsid w:val="008B4F20"/>
    <w:rsid w:val="008C7023"/>
    <w:rsid w:val="008D1A73"/>
    <w:rsid w:val="008D4C5E"/>
    <w:rsid w:val="008D7317"/>
    <w:rsid w:val="009117B2"/>
    <w:rsid w:val="00953167"/>
    <w:rsid w:val="00953673"/>
    <w:rsid w:val="00974C6D"/>
    <w:rsid w:val="009771D6"/>
    <w:rsid w:val="00982F48"/>
    <w:rsid w:val="009C0775"/>
    <w:rsid w:val="00A064EF"/>
    <w:rsid w:val="00A1559A"/>
    <w:rsid w:val="00A33CB6"/>
    <w:rsid w:val="00A87F40"/>
    <w:rsid w:val="00AB5C31"/>
    <w:rsid w:val="00AC278D"/>
    <w:rsid w:val="00AD1705"/>
    <w:rsid w:val="00AF487E"/>
    <w:rsid w:val="00B123D3"/>
    <w:rsid w:val="00B26BE6"/>
    <w:rsid w:val="00B3399A"/>
    <w:rsid w:val="00B436F2"/>
    <w:rsid w:val="00B4779E"/>
    <w:rsid w:val="00B83B2A"/>
    <w:rsid w:val="00B9020D"/>
    <w:rsid w:val="00BA778E"/>
    <w:rsid w:val="00BB0661"/>
    <w:rsid w:val="00BB5B6B"/>
    <w:rsid w:val="00BC29D2"/>
    <w:rsid w:val="00BD208D"/>
    <w:rsid w:val="00C01924"/>
    <w:rsid w:val="00C63ABC"/>
    <w:rsid w:val="00C765EC"/>
    <w:rsid w:val="00C8239A"/>
    <w:rsid w:val="00C85F92"/>
    <w:rsid w:val="00CA291A"/>
    <w:rsid w:val="00CC215A"/>
    <w:rsid w:val="00CE0120"/>
    <w:rsid w:val="00CE4F18"/>
    <w:rsid w:val="00CE6CE7"/>
    <w:rsid w:val="00D1125B"/>
    <w:rsid w:val="00D12537"/>
    <w:rsid w:val="00D15A10"/>
    <w:rsid w:val="00D40694"/>
    <w:rsid w:val="00D6085F"/>
    <w:rsid w:val="00D73F0F"/>
    <w:rsid w:val="00D75ED2"/>
    <w:rsid w:val="00D83D11"/>
    <w:rsid w:val="00DA3115"/>
    <w:rsid w:val="00DC4C5F"/>
    <w:rsid w:val="00E07B58"/>
    <w:rsid w:val="00E206C2"/>
    <w:rsid w:val="00E33645"/>
    <w:rsid w:val="00E35AC4"/>
    <w:rsid w:val="00E35BA4"/>
    <w:rsid w:val="00E71037"/>
    <w:rsid w:val="00E8264E"/>
    <w:rsid w:val="00E903FE"/>
    <w:rsid w:val="00EA521D"/>
    <w:rsid w:val="00EC3B04"/>
    <w:rsid w:val="00EC5F09"/>
    <w:rsid w:val="00ED5CE2"/>
    <w:rsid w:val="00F26170"/>
    <w:rsid w:val="00F27275"/>
    <w:rsid w:val="00F463DF"/>
    <w:rsid w:val="00F520F8"/>
    <w:rsid w:val="00F56123"/>
    <w:rsid w:val="00F601EC"/>
    <w:rsid w:val="00F63735"/>
    <w:rsid w:val="00F6778B"/>
    <w:rsid w:val="00F90733"/>
    <w:rsid w:val="00FC4444"/>
    <w:rsid w:val="00FE156D"/>
    <w:rsid w:val="00FF5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05079198-BDFF-42C8-A7A8-4AB0FD1D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4">
    <w:name w:val="heading 4"/>
    <w:basedOn w:val="Normln"/>
    <w:next w:val="Normln"/>
    <w:qFormat/>
    <w:pPr>
      <w:keepNext/>
      <w:spacing w:line="360" w:lineRule="auto"/>
      <w:outlineLvl w:val="3"/>
    </w:pPr>
    <w:rPr>
      <w:b/>
      <w:b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firstLine="708"/>
      <w:jc w:val="both"/>
    </w:pPr>
  </w:style>
  <w:style w:type="paragraph" w:styleId="Zkladntext">
    <w:name w:val="Body Text"/>
    <w:basedOn w:val="Normln"/>
    <w:rPr>
      <w:b/>
    </w:rPr>
  </w:style>
  <w:style w:type="paragraph" w:styleId="Zkladntextodsazen2">
    <w:name w:val="Body Text Indent 2"/>
    <w:basedOn w:val="Normln"/>
    <w:pPr>
      <w:ind w:firstLine="715"/>
    </w:pPr>
  </w:style>
  <w:style w:type="paragraph" w:styleId="Rozloendokumentu">
    <w:name w:val="Document Map"/>
    <w:basedOn w:val="Normln"/>
    <w:semiHidden/>
    <w:pPr>
      <w:shd w:val="clear" w:color="auto" w:fill="000080"/>
    </w:pPr>
    <w:rPr>
      <w:rFonts w:ascii="Tahoma" w:hAnsi="Tahoma"/>
    </w:rPr>
  </w:style>
  <w:style w:type="paragraph" w:styleId="Zkladntext2">
    <w:name w:val="Body Text 2"/>
    <w:basedOn w:val="Normln"/>
    <w:pPr>
      <w:jc w:val="center"/>
    </w:pPr>
    <w:rPr>
      <w:b/>
      <w:u w:val="single"/>
    </w:rPr>
  </w:style>
  <w:style w:type="character" w:styleId="Siln">
    <w:name w:val="Strong"/>
    <w:qFormat/>
    <w:rPr>
      <w:b/>
      <w:bCs/>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Normlnweb">
    <w:name w:val="Normal (Web)"/>
    <w:basedOn w:val="Normln"/>
    <w:pPr>
      <w:spacing w:before="100" w:beforeAutospacing="1" w:after="100" w:afterAutospacing="1"/>
    </w:pPr>
    <w:rPr>
      <w:sz w:val="20"/>
    </w:rPr>
  </w:style>
  <w:style w:type="paragraph" w:styleId="Textbubliny">
    <w:name w:val="Balloon Text"/>
    <w:basedOn w:val="Normln"/>
    <w:semiHidden/>
    <w:rsid w:val="00C63ABC"/>
    <w:rPr>
      <w:rFonts w:ascii="Tahoma" w:hAnsi="Tahoma" w:cs="Tahoma"/>
      <w:sz w:val="16"/>
      <w:szCs w:val="16"/>
    </w:rPr>
  </w:style>
  <w:style w:type="character" w:styleId="Odkaznakoment">
    <w:name w:val="annotation reference"/>
    <w:uiPriority w:val="99"/>
    <w:semiHidden/>
    <w:unhideWhenUsed/>
    <w:rsid w:val="002A6881"/>
    <w:rPr>
      <w:sz w:val="16"/>
      <w:szCs w:val="16"/>
    </w:rPr>
  </w:style>
  <w:style w:type="paragraph" w:styleId="Textkomente">
    <w:name w:val="annotation text"/>
    <w:basedOn w:val="Normln"/>
    <w:link w:val="TextkomenteChar"/>
    <w:uiPriority w:val="99"/>
    <w:semiHidden/>
    <w:unhideWhenUsed/>
    <w:rsid w:val="002A6881"/>
    <w:rPr>
      <w:sz w:val="20"/>
    </w:rPr>
  </w:style>
  <w:style w:type="character" w:customStyle="1" w:styleId="TextkomenteChar">
    <w:name w:val="Text komentáře Char"/>
    <w:basedOn w:val="Standardnpsmoodstavce"/>
    <w:link w:val="Textkomente"/>
    <w:uiPriority w:val="99"/>
    <w:semiHidden/>
    <w:rsid w:val="002A6881"/>
  </w:style>
  <w:style w:type="paragraph" w:styleId="Pedmtkomente">
    <w:name w:val="annotation subject"/>
    <w:basedOn w:val="Textkomente"/>
    <w:next w:val="Textkomente"/>
    <w:link w:val="PedmtkomenteChar"/>
    <w:uiPriority w:val="99"/>
    <w:semiHidden/>
    <w:unhideWhenUsed/>
    <w:rsid w:val="002A6881"/>
    <w:rPr>
      <w:b/>
      <w:bCs/>
    </w:rPr>
  </w:style>
  <w:style w:type="character" w:customStyle="1" w:styleId="PedmtkomenteChar">
    <w:name w:val="Předmět komentáře Char"/>
    <w:link w:val="Pedmtkomente"/>
    <w:uiPriority w:val="99"/>
    <w:semiHidden/>
    <w:rsid w:val="002A6881"/>
    <w:rPr>
      <w:b/>
      <w:bCs/>
    </w:rPr>
  </w:style>
  <w:style w:type="character" w:customStyle="1" w:styleId="ZkladntextodsazenChar">
    <w:name w:val="Základní text odsazený Char"/>
    <w:link w:val="Zkladntextodsazen"/>
    <w:rsid w:val="00145F49"/>
    <w:rPr>
      <w:sz w:val="24"/>
    </w:rPr>
  </w:style>
  <w:style w:type="paragraph" w:styleId="Prosttext">
    <w:name w:val="Plain Text"/>
    <w:basedOn w:val="Normln"/>
    <w:link w:val="ProsttextChar"/>
    <w:uiPriority w:val="99"/>
    <w:semiHidden/>
    <w:unhideWhenUsed/>
    <w:rsid w:val="00576274"/>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576274"/>
    <w:rPr>
      <w:rFonts w:ascii="Calibri" w:eastAsiaTheme="minorHAnsi" w:hAnsi="Calibri" w:cstheme="minorBidi"/>
      <w:sz w:val="22"/>
      <w:szCs w:val="21"/>
      <w:lang w:eastAsia="en-US"/>
    </w:rPr>
  </w:style>
  <w:style w:type="paragraph" w:styleId="Odstavecseseznamem">
    <w:name w:val="List Paragraph"/>
    <w:basedOn w:val="Normln"/>
    <w:uiPriority w:val="34"/>
    <w:qFormat/>
    <w:rsid w:val="00271CEC"/>
    <w:pPr>
      <w:ind w:left="72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4153">
      <w:bodyDiv w:val="1"/>
      <w:marLeft w:val="0"/>
      <w:marRight w:val="0"/>
      <w:marTop w:val="0"/>
      <w:marBottom w:val="0"/>
      <w:divBdr>
        <w:top w:val="none" w:sz="0" w:space="0" w:color="auto"/>
        <w:left w:val="none" w:sz="0" w:space="0" w:color="auto"/>
        <w:bottom w:val="none" w:sz="0" w:space="0" w:color="auto"/>
        <w:right w:val="none" w:sz="0" w:space="0" w:color="auto"/>
      </w:divBdr>
    </w:div>
    <w:div w:id="852182789">
      <w:bodyDiv w:val="1"/>
      <w:marLeft w:val="0"/>
      <w:marRight w:val="0"/>
      <w:marTop w:val="0"/>
      <w:marBottom w:val="0"/>
      <w:divBdr>
        <w:top w:val="none" w:sz="0" w:space="0" w:color="auto"/>
        <w:left w:val="none" w:sz="0" w:space="0" w:color="auto"/>
        <w:bottom w:val="none" w:sz="0" w:space="0" w:color="auto"/>
        <w:right w:val="none" w:sz="0" w:space="0" w:color="auto"/>
      </w:divBdr>
    </w:div>
    <w:div w:id="945771110">
      <w:bodyDiv w:val="1"/>
      <w:marLeft w:val="0"/>
      <w:marRight w:val="0"/>
      <w:marTop w:val="0"/>
      <w:marBottom w:val="0"/>
      <w:divBdr>
        <w:top w:val="none" w:sz="0" w:space="0" w:color="auto"/>
        <w:left w:val="none" w:sz="0" w:space="0" w:color="auto"/>
        <w:bottom w:val="none" w:sz="0" w:space="0" w:color="auto"/>
        <w:right w:val="none" w:sz="0" w:space="0" w:color="auto"/>
      </w:divBdr>
    </w:div>
    <w:div w:id="947546148">
      <w:bodyDiv w:val="1"/>
      <w:marLeft w:val="0"/>
      <w:marRight w:val="0"/>
      <w:marTop w:val="0"/>
      <w:marBottom w:val="0"/>
      <w:divBdr>
        <w:top w:val="none" w:sz="0" w:space="0" w:color="auto"/>
        <w:left w:val="none" w:sz="0" w:space="0" w:color="auto"/>
        <w:bottom w:val="none" w:sz="0" w:space="0" w:color="auto"/>
        <w:right w:val="none" w:sz="0" w:space="0" w:color="auto"/>
      </w:divBdr>
    </w:div>
    <w:div w:id="965427925">
      <w:bodyDiv w:val="1"/>
      <w:marLeft w:val="0"/>
      <w:marRight w:val="0"/>
      <w:marTop w:val="0"/>
      <w:marBottom w:val="0"/>
      <w:divBdr>
        <w:top w:val="none" w:sz="0" w:space="0" w:color="auto"/>
        <w:left w:val="none" w:sz="0" w:space="0" w:color="auto"/>
        <w:bottom w:val="none" w:sz="0" w:space="0" w:color="auto"/>
        <w:right w:val="none" w:sz="0" w:space="0" w:color="auto"/>
      </w:divBdr>
    </w:div>
    <w:div w:id="1623539439">
      <w:bodyDiv w:val="1"/>
      <w:marLeft w:val="0"/>
      <w:marRight w:val="0"/>
      <w:marTop w:val="0"/>
      <w:marBottom w:val="0"/>
      <w:divBdr>
        <w:top w:val="none" w:sz="0" w:space="0" w:color="auto"/>
        <w:left w:val="none" w:sz="0" w:space="0" w:color="auto"/>
        <w:bottom w:val="none" w:sz="0" w:space="0" w:color="auto"/>
        <w:right w:val="none" w:sz="0" w:space="0" w:color="auto"/>
      </w:divBdr>
      <w:divsChild>
        <w:div w:id="1847210981">
          <w:marLeft w:val="0"/>
          <w:marRight w:val="0"/>
          <w:marTop w:val="0"/>
          <w:marBottom w:val="0"/>
          <w:divBdr>
            <w:top w:val="none" w:sz="0" w:space="0" w:color="auto"/>
            <w:left w:val="none" w:sz="0" w:space="0" w:color="auto"/>
            <w:bottom w:val="none" w:sz="0" w:space="0" w:color="auto"/>
            <w:right w:val="none" w:sz="0" w:space="0" w:color="auto"/>
          </w:divBdr>
          <w:divsChild>
            <w:div w:id="593514307">
              <w:marLeft w:val="0"/>
              <w:marRight w:val="0"/>
              <w:marTop w:val="0"/>
              <w:marBottom w:val="0"/>
              <w:divBdr>
                <w:top w:val="none" w:sz="0" w:space="0" w:color="auto"/>
                <w:left w:val="none" w:sz="0" w:space="0" w:color="auto"/>
                <w:bottom w:val="none" w:sz="0" w:space="0" w:color="auto"/>
                <w:right w:val="none" w:sz="0" w:space="0" w:color="auto"/>
              </w:divBdr>
              <w:divsChild>
                <w:div w:id="939609294">
                  <w:marLeft w:val="0"/>
                  <w:marRight w:val="0"/>
                  <w:marTop w:val="0"/>
                  <w:marBottom w:val="0"/>
                  <w:divBdr>
                    <w:top w:val="none" w:sz="0" w:space="0" w:color="auto"/>
                    <w:left w:val="none" w:sz="0" w:space="0" w:color="auto"/>
                    <w:bottom w:val="none" w:sz="0" w:space="0" w:color="auto"/>
                    <w:right w:val="none" w:sz="0" w:space="0" w:color="auto"/>
                  </w:divBdr>
                  <w:divsChild>
                    <w:div w:id="8905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4835">
      <w:bodyDiv w:val="1"/>
      <w:marLeft w:val="0"/>
      <w:marRight w:val="0"/>
      <w:marTop w:val="0"/>
      <w:marBottom w:val="0"/>
      <w:divBdr>
        <w:top w:val="none" w:sz="0" w:space="0" w:color="auto"/>
        <w:left w:val="none" w:sz="0" w:space="0" w:color="auto"/>
        <w:bottom w:val="none" w:sz="0" w:space="0" w:color="auto"/>
        <w:right w:val="none" w:sz="0" w:space="0" w:color="auto"/>
      </w:divBdr>
    </w:div>
    <w:div w:id="18491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1104</Words>
  <Characters>6518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Mgr</vt:lpstr>
    </vt:vector>
  </TitlesOfParts>
  <Company>Microsoft</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Mgr</dc:title>
  <dc:subject/>
  <dc:creator>SMO</dc:creator>
  <cp:keywords/>
  <cp:lastModifiedBy>Chládková Jana</cp:lastModifiedBy>
  <cp:revision>4</cp:revision>
  <cp:lastPrinted>2015-11-24T13:31:00Z</cp:lastPrinted>
  <dcterms:created xsi:type="dcterms:W3CDTF">2015-11-24T12:53:00Z</dcterms:created>
  <dcterms:modified xsi:type="dcterms:W3CDTF">2015-11-24T13:33:00Z</dcterms:modified>
</cp:coreProperties>
</file>