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CCA5A" w14:textId="77777777" w:rsidR="0021529A" w:rsidRPr="0021529A" w:rsidRDefault="0021529A" w:rsidP="00595327">
      <w:pPr>
        <w:spacing w:after="100" w:afterAutospacing="1" w:line="276" w:lineRule="auto"/>
        <w:ind w:left="-180"/>
        <w:jc w:val="center"/>
        <w:outlineLvl w:val="2"/>
        <w:rPr>
          <w:rFonts w:ascii="Sylfaen" w:eastAsia="Times New Roman" w:hAnsi="Sylfaen" w:cs="Arial"/>
          <w:b/>
          <w:bCs/>
          <w:color w:val="000000"/>
          <w:kern w:val="0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14:ligatures w14:val="none"/>
        </w:rPr>
        <w:t>The Profile of Poti City</w:t>
      </w:r>
    </w:p>
    <w:p w14:paraId="43E4C56C" w14:textId="14ED29B0" w:rsidR="006102F6" w:rsidRPr="0021529A" w:rsidRDefault="0021529A" w:rsidP="006102F6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Founded in antiquity as the Greek colony of Phasis around the 7</w:t>
      </w:r>
      <w:r w:rsidRPr="0063130D">
        <w:rPr>
          <w:rFonts w:ascii="Sylfaen" w:eastAsia="Times New Roman" w:hAnsi="Sylfaen" w:cs="Arial"/>
          <w:color w:val="000000"/>
          <w:kern w:val="0"/>
          <w:sz w:val="22"/>
          <w:szCs w:val="22"/>
          <w:vertAlign w:val="superscript"/>
          <w14:ligatures w14:val="none"/>
        </w:rPr>
        <w:t>th</w:t>
      </w:r>
      <w:r w:rsidR="0063130D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-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6</w:t>
      </w:r>
      <w:r w:rsidRPr="0063130D">
        <w:rPr>
          <w:rFonts w:ascii="Sylfaen" w:eastAsia="Times New Roman" w:hAnsi="Sylfaen" w:cs="Arial"/>
          <w:color w:val="000000"/>
          <w:kern w:val="0"/>
          <w:sz w:val="22"/>
          <w:szCs w:val="22"/>
          <w:vertAlign w:val="superscript"/>
          <w14:ligatures w14:val="none"/>
        </w:rPr>
        <w:t>th</w:t>
      </w:r>
      <w:r w:rsidR="0063130D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 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century BC, Poti has long served as a vital trade bridge linking the eastern Black Sea coast to the Eurasian interior. The modern municipality was fundamentally reshaped in the late 19</w:t>
      </w:r>
      <w:r w:rsidRPr="00E04252">
        <w:rPr>
          <w:rFonts w:ascii="Sylfaen" w:eastAsia="Times New Roman" w:hAnsi="Sylfaen" w:cs="Arial"/>
          <w:color w:val="000000"/>
          <w:kern w:val="0"/>
          <w:sz w:val="22"/>
          <w:szCs w:val="22"/>
          <w:vertAlign w:val="superscript"/>
          <w14:ligatures w14:val="none"/>
        </w:rPr>
        <w:t>th</w:t>
      </w:r>
      <w:r w:rsidR="00E04252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 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century under Mayor Niko Nikoladze (1894</w:t>
      </w:r>
      <w:r w:rsidR="0067003F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-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1912)</w:t>
      </w:r>
      <w:r w:rsidR="006102F6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, </w:t>
      </w:r>
      <w:r w:rsidR="006102F6" w:rsidRPr="006102F6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who oversaw the development of its radial urban grid and major infrastructure and port improvements, helping transform Poti into a major commercial sea gateway.</w:t>
      </w:r>
    </w:p>
    <w:p w14:paraId="22B1146B" w14:textId="77777777" w:rsidR="0021529A" w:rsidRPr="0021529A" w:rsidRDefault="0021529A" w:rsidP="00595327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</w:p>
    <w:p w14:paraId="7E691207" w14:textId="19236E6D" w:rsidR="0021529A" w:rsidRPr="0021529A" w:rsidRDefault="0021529A" w:rsidP="00595327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Situated within the delta of the Rioni River, Poti sits at the </w:t>
      </w:r>
      <w:r w:rsidR="002C6A6F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crossroads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 of international transport networks, forming a critical anchor for the TRACECA / Middle Corridor connecting Europe, the South Caucasus, and Central Asia. While acting as a heavy-duty maritime and industrial logistics node, the city remains geographically intertwined with the sensitive, protected wetlands of </w:t>
      </w:r>
      <w:proofErr w:type="spellStart"/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Kolkheti</w:t>
      </w:r>
      <w:proofErr w:type="spellEnd"/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 National Park.</w:t>
      </w:r>
    </w:p>
    <w:p w14:paraId="1FE5897C" w14:textId="77777777" w:rsidR="0021529A" w:rsidRPr="0021529A" w:rsidRDefault="0021529A" w:rsidP="00595327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br/>
      </w:r>
    </w:p>
    <w:p w14:paraId="43D825F3" w14:textId="3AE49B62" w:rsidR="0021529A" w:rsidRPr="00F56B9A" w:rsidRDefault="0021529A" w:rsidP="00595327">
      <w:pPr>
        <w:spacing w:after="100" w:afterAutospacing="1" w:line="276" w:lineRule="auto"/>
        <w:ind w:left="-180"/>
        <w:jc w:val="center"/>
        <w:outlineLvl w:val="2"/>
        <w:rPr>
          <w:rFonts w:ascii="Sylfaen" w:eastAsia="Times New Roman" w:hAnsi="Sylfaen" w:cs="Arial"/>
          <w:b/>
          <w:bCs/>
          <w:color w:val="000000"/>
          <w:kern w:val="0"/>
          <w14:ligatures w14:val="none"/>
        </w:rPr>
      </w:pPr>
      <w:r w:rsidRPr="00F56B9A">
        <w:rPr>
          <w:rFonts w:ascii="Sylfaen" w:eastAsia="Times New Roman" w:hAnsi="Sylfaen" w:cs="Arial"/>
          <w:b/>
          <w:bCs/>
          <w:color w:val="000000"/>
          <w:kern w:val="0"/>
          <w14:ligatures w14:val="none"/>
        </w:rPr>
        <w:t xml:space="preserve">Core Data &amp; </w:t>
      </w:r>
      <w:r w:rsidR="00F56B9A" w:rsidRPr="00F56B9A">
        <w:rPr>
          <w:rFonts w:ascii="Sylfaen" w:eastAsia="Times New Roman" w:hAnsi="Sylfaen" w:cs="Arial"/>
          <w:b/>
          <w:bCs/>
          <w:color w:val="000000"/>
          <w:kern w:val="0"/>
          <w14:ligatures w14:val="none"/>
        </w:rPr>
        <w:t>Facts</w:t>
      </w:r>
    </w:p>
    <w:p w14:paraId="5634B531" w14:textId="77777777" w:rsidR="0021529A" w:rsidRPr="0067003F" w:rsidRDefault="0021529A" w:rsidP="00595327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215E99" w:themeColor="text2" w:themeTint="BF"/>
          <w:kern w:val="0"/>
          <w:sz w:val="22"/>
          <w:szCs w:val="22"/>
          <w14:ligatures w14:val="none"/>
        </w:rPr>
      </w:pPr>
      <w:r w:rsidRPr="0067003F">
        <w:rPr>
          <w:rFonts w:ascii="Sylfaen" w:eastAsia="Times New Roman" w:hAnsi="Sylfaen" w:cs="Arial"/>
          <w:b/>
          <w:bCs/>
          <w:color w:val="215E99" w:themeColor="text2" w:themeTint="BF"/>
          <w:kern w:val="0"/>
          <w:sz w:val="22"/>
          <w:szCs w:val="22"/>
          <w14:ligatures w14:val="none"/>
        </w:rPr>
        <w:t>Demographics &amp; Geography</w:t>
      </w:r>
    </w:p>
    <w:p w14:paraId="3F17F171" w14:textId="5F499C86" w:rsidR="0021529A" w:rsidRPr="0021529A" w:rsidRDefault="0021529A" w:rsidP="00595327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</w:p>
    <w:p w14:paraId="65BA8563" w14:textId="5DB5DE03" w:rsidR="0021529A" w:rsidRPr="0067003F" w:rsidRDefault="0021529A" w:rsidP="00595327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Location: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 Coastal western Georgia (Samegrelo-Zemo Svaneti region) at the mouth of the Rioni River, approximately 312 km west of Tbilisi.</w:t>
      </w:r>
    </w:p>
    <w:p w14:paraId="5211779A" w14:textId="3C21DD40" w:rsidR="00D836F8" w:rsidRDefault="0021529A" w:rsidP="00D836F8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Elevation &amp; Topography: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 </w:t>
      </w:r>
      <w:r w:rsidR="00D836F8" w:rsidRPr="00D836F8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Approximately 2 meters above sea level, with predominantly flat, low-lying alluvial terrain.</w:t>
      </w:r>
    </w:p>
    <w:p w14:paraId="65CBD854" w14:textId="77777777" w:rsidR="0021529A" w:rsidRPr="0021529A" w:rsidRDefault="0021529A" w:rsidP="00595327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Climate: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 Humid subtropical with high annual rainfall, influencing local storage, transit operations, and civil engineering requirements.</w:t>
      </w:r>
    </w:p>
    <w:p w14:paraId="020A60CE" w14:textId="47922BBB" w:rsidR="0021529A" w:rsidRPr="0021529A" w:rsidRDefault="0021529A" w:rsidP="00595327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Population: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 </w:t>
      </w:r>
      <w:r w:rsidR="002C6A6F" w:rsidRPr="00D836F8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Approximately 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41,000 residents.</w:t>
      </w:r>
    </w:p>
    <w:p w14:paraId="63306725" w14:textId="77777777" w:rsidR="0021529A" w:rsidRPr="0067003F" w:rsidRDefault="0021529A" w:rsidP="00595327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215E99" w:themeColor="text2" w:themeTint="BF"/>
          <w:kern w:val="0"/>
          <w:sz w:val="22"/>
          <w:szCs w:val="22"/>
          <w14:ligatures w14:val="none"/>
        </w:rPr>
      </w:pPr>
      <w:r w:rsidRPr="0067003F">
        <w:rPr>
          <w:rFonts w:ascii="Sylfaen" w:eastAsia="Times New Roman" w:hAnsi="Sylfaen" w:cs="Arial"/>
          <w:b/>
          <w:bCs/>
          <w:color w:val="215E99" w:themeColor="text2" w:themeTint="BF"/>
          <w:kern w:val="0"/>
          <w:sz w:val="22"/>
          <w:szCs w:val="22"/>
          <w14:ligatures w14:val="none"/>
        </w:rPr>
        <w:t>Logistics &amp; Maritime Infrastructure</w:t>
      </w:r>
    </w:p>
    <w:p w14:paraId="52F1EC01" w14:textId="7652BDD5" w:rsidR="0021529A" w:rsidRPr="0021529A" w:rsidRDefault="0021529A" w:rsidP="00595327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</w:p>
    <w:p w14:paraId="2F65C140" w14:textId="270D3345" w:rsidR="0021529A" w:rsidRPr="0021529A" w:rsidRDefault="0021529A" w:rsidP="002C6A6F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Poti Sea Port: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 </w:t>
      </w:r>
      <w:r w:rsidR="002C6A6F" w:rsidRPr="002C6A6F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Georgia’s largest seaport and a major multipurpose commercial port, operated by APM Terminals, part of A.P. Moller–Maersk</w:t>
      </w:r>
      <w:r w:rsidR="002C6A6F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. 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It handles roughly 80% of the nation's containerized cargo, alongside dry bulk, liquid cargo, and ferry services</w:t>
      </w:r>
      <w:r w:rsidR="0067003F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.</w:t>
      </w:r>
    </w:p>
    <w:p w14:paraId="1887C642" w14:textId="6221A8CC" w:rsidR="0021529A" w:rsidRPr="0021529A" w:rsidRDefault="0021529A" w:rsidP="00595327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Operational Capacity &amp; Expansion: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 Modernizations include expanded container yards, specialized bulk cargo handling portal cranes, and newly integrated multi-modal facilities like the Poti </w:t>
      </w:r>
      <w:proofErr w:type="spellStart"/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TransTerminal</w:t>
      </w:r>
      <w:proofErr w:type="spellEnd"/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 hub to support growing east-west transit demand.</w:t>
      </w:r>
    </w:p>
    <w:p w14:paraId="348F9006" w14:textId="450C1F79" w:rsidR="00BC011A" w:rsidRPr="0021529A" w:rsidRDefault="0021529A" w:rsidP="00BC011A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Draft Constraints &amp; Limitations: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 </w:t>
      </w:r>
      <w:r w:rsidR="00BC011A" w:rsidRPr="00BC011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The port's relatively limited draft and infrastructure impose constraints on the size of vessels it can accommodate.</w:t>
      </w:r>
    </w:p>
    <w:p w14:paraId="7AF4024B" w14:textId="6D50AD0C" w:rsidR="0021529A" w:rsidRPr="0021529A" w:rsidRDefault="0021529A" w:rsidP="00595327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Multimodal Integration: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 Direct on-dock rail connectivity linking into the primary Trans-Caucasian rail corridor and roadway access via the East-West Highway (E60) network.</w:t>
      </w:r>
    </w:p>
    <w:p w14:paraId="7E08E3AA" w14:textId="77777777" w:rsidR="0021529A" w:rsidRPr="0067003F" w:rsidRDefault="0021529A" w:rsidP="00595327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215E99" w:themeColor="text2" w:themeTint="BF"/>
          <w:kern w:val="0"/>
          <w:sz w:val="22"/>
          <w:szCs w:val="22"/>
          <w14:ligatures w14:val="none"/>
        </w:rPr>
      </w:pPr>
      <w:r w:rsidRPr="0067003F">
        <w:rPr>
          <w:rFonts w:ascii="Sylfaen" w:eastAsia="Times New Roman" w:hAnsi="Sylfaen" w:cs="Arial"/>
          <w:b/>
          <w:bCs/>
          <w:color w:val="215E99" w:themeColor="text2" w:themeTint="BF"/>
          <w:kern w:val="0"/>
          <w:sz w:val="22"/>
          <w:szCs w:val="22"/>
          <w14:ligatures w14:val="none"/>
        </w:rPr>
        <w:t>Economic Base &amp; Industrial Footprint</w:t>
      </w:r>
    </w:p>
    <w:p w14:paraId="3612EAAB" w14:textId="1CC2C02A" w:rsidR="0021529A" w:rsidRPr="0021529A" w:rsidRDefault="0021529A" w:rsidP="00595327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</w:p>
    <w:p w14:paraId="2D0B7D14" w14:textId="386DAE32" w:rsidR="0021529A" w:rsidRDefault="0021529A" w:rsidP="00BC011A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Poti Free Industrial Zone (FIZ):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 A tax-advantaged industrial park</w:t>
      </w:r>
      <w:r w:rsidR="00BC011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, </w:t>
      </w:r>
      <w:r w:rsidR="00BC011A" w:rsidRPr="00BC011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covering approximately 300 hectares adjacent to the port</w:t>
      </w:r>
      <w:r w:rsidR="00BC011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, 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engineered for light assembly, manufacturing, warehousing, and international re-export.</w:t>
      </w:r>
    </w:p>
    <w:p w14:paraId="6503A6BD" w14:textId="2BCD745C" w:rsidR="0021529A" w:rsidRPr="0021529A" w:rsidRDefault="0021529A" w:rsidP="00595327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Local Industries: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 Maritime logistics, customs brokerage, commercial ship repair and dry docking, fish processing (anchovy meal/oil), and construction materials production.</w:t>
      </w:r>
    </w:p>
    <w:p w14:paraId="582093F9" w14:textId="77777777" w:rsidR="0021529A" w:rsidRPr="0067003F" w:rsidRDefault="0021529A" w:rsidP="00595327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215E99" w:themeColor="text2" w:themeTint="BF"/>
          <w:kern w:val="0"/>
          <w:sz w:val="22"/>
          <w:szCs w:val="22"/>
          <w14:ligatures w14:val="none"/>
        </w:rPr>
      </w:pPr>
      <w:r w:rsidRPr="0067003F">
        <w:rPr>
          <w:rFonts w:ascii="Sylfaen" w:eastAsia="Times New Roman" w:hAnsi="Sylfaen" w:cs="Arial"/>
          <w:b/>
          <w:bCs/>
          <w:color w:val="215E99" w:themeColor="text2" w:themeTint="BF"/>
          <w:kern w:val="0"/>
          <w:sz w:val="22"/>
          <w:szCs w:val="22"/>
          <w14:ligatures w14:val="none"/>
        </w:rPr>
        <w:t>Environmental &amp; Spatial Context</w:t>
      </w:r>
    </w:p>
    <w:p w14:paraId="74D9A633" w14:textId="5764322E" w:rsidR="0021529A" w:rsidRPr="0021529A" w:rsidRDefault="0021529A" w:rsidP="00595327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</w:p>
    <w:p w14:paraId="53E643E8" w14:textId="3BA6DDD2" w:rsidR="00BC011A" w:rsidRPr="0021529A" w:rsidRDefault="0021529A" w:rsidP="00BC011A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proofErr w:type="spellStart"/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Kolkheti</w:t>
      </w:r>
      <w:proofErr w:type="spellEnd"/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 xml:space="preserve"> National Park &amp; Lake </w:t>
      </w:r>
      <w:proofErr w:type="spellStart"/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Paliastomi</w:t>
      </w:r>
      <w:proofErr w:type="spellEnd"/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:</w:t>
      </w:r>
      <w:r w:rsidR="00BC011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 </w:t>
      </w:r>
      <w:r w:rsidR="00BC011A" w:rsidRPr="00BC011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Located close to </w:t>
      </w:r>
      <w:proofErr w:type="spellStart"/>
      <w:r w:rsidR="00BC011A" w:rsidRPr="00BC011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Kolkheti</w:t>
      </w:r>
      <w:proofErr w:type="spellEnd"/>
      <w:r w:rsidR="00BC011A" w:rsidRPr="00BC011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 National Park and the </w:t>
      </w:r>
      <w:proofErr w:type="spellStart"/>
      <w:r w:rsidR="00BC011A" w:rsidRPr="00BC011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Paliastomi</w:t>
      </w:r>
      <w:proofErr w:type="spellEnd"/>
      <w:r w:rsidR="00BC011A" w:rsidRPr="00BC011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 Lake basin, which form part of the internationally important </w:t>
      </w:r>
      <w:proofErr w:type="spellStart"/>
      <w:r w:rsidR="00BC011A" w:rsidRPr="00BC011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Kolkheti</w:t>
      </w:r>
      <w:proofErr w:type="spellEnd"/>
      <w:r w:rsidR="00BC011A" w:rsidRPr="00BC011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 wetland ecosystem and provide important habitats for migratory birds.</w:t>
      </w:r>
    </w:p>
    <w:p w14:paraId="52D20AF8" w14:textId="1BBCB1D3" w:rsidR="00F00185" w:rsidRPr="00F00185" w:rsidRDefault="0021529A" w:rsidP="00F00185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Development Friction: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 Industrial expansion and infrastructure upgrades face strict ecological boundaries, requiring meticulous environmental impact mitigation</w:t>
      </w:r>
      <w:r w:rsidR="00F00185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 xml:space="preserve"> </w:t>
      </w:r>
      <w:r w:rsidR="00F00185" w:rsidRPr="00F00185">
        <w:rPr>
          <w:rFonts w:ascii="Sylfaen" w:hAnsi="Sylfaen" w:cs="Arial"/>
          <w:color w:val="000000"/>
          <w:sz w:val="22"/>
          <w:szCs w:val="22"/>
        </w:rPr>
        <w:t>because it is close to sensitive delta ecosystems.</w:t>
      </w:r>
    </w:p>
    <w:p w14:paraId="49E28377" w14:textId="77777777" w:rsidR="0021529A" w:rsidRPr="0067003F" w:rsidRDefault="0021529A" w:rsidP="00595327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215E99" w:themeColor="text2" w:themeTint="BF"/>
          <w:kern w:val="0"/>
          <w:sz w:val="22"/>
          <w:szCs w:val="22"/>
          <w14:ligatures w14:val="none"/>
        </w:rPr>
      </w:pPr>
      <w:r w:rsidRPr="0067003F">
        <w:rPr>
          <w:rFonts w:ascii="Sylfaen" w:eastAsia="Times New Roman" w:hAnsi="Sylfaen" w:cs="Arial"/>
          <w:b/>
          <w:bCs/>
          <w:color w:val="215E99" w:themeColor="text2" w:themeTint="BF"/>
          <w:kern w:val="0"/>
          <w:sz w:val="22"/>
          <w:szCs w:val="22"/>
          <w14:ligatures w14:val="none"/>
        </w:rPr>
        <w:t>Culture &amp; Architectural Heritage</w:t>
      </w:r>
    </w:p>
    <w:p w14:paraId="11DA5223" w14:textId="06FB27EE" w:rsidR="0021529A" w:rsidRPr="0021529A" w:rsidRDefault="0021529A" w:rsidP="00595327">
      <w:pPr>
        <w:spacing w:after="0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</w:p>
    <w:p w14:paraId="7BA77366" w14:textId="75DB13E9" w:rsidR="0021529A" w:rsidRPr="0067003F" w:rsidRDefault="0021529A" w:rsidP="00595327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Urban Design: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 Distinct radial wheel street pattern envisioned by Niko Nikoladze to optimize air circulation and municipal transit flow.</w:t>
      </w:r>
    </w:p>
    <w:p w14:paraId="62031A98" w14:textId="77777777" w:rsidR="0021529A" w:rsidRPr="0021529A" w:rsidRDefault="0021529A" w:rsidP="00595327">
      <w:pPr>
        <w:spacing w:after="100" w:afterAutospacing="1" w:line="276" w:lineRule="auto"/>
        <w:ind w:left="-180"/>
        <w:jc w:val="both"/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</w:pPr>
      <w:r w:rsidRPr="0021529A">
        <w:rPr>
          <w:rFonts w:ascii="Sylfaen" w:eastAsia="Times New Roman" w:hAnsi="Sylfaen" w:cs="Arial"/>
          <w:b/>
          <w:bCs/>
          <w:color w:val="000000"/>
          <w:kern w:val="0"/>
          <w:sz w:val="22"/>
          <w:szCs w:val="22"/>
          <w14:ligatures w14:val="none"/>
        </w:rPr>
        <w:t>Landmarks:</w:t>
      </w:r>
      <w:r w:rsidRPr="0021529A">
        <w:rPr>
          <w:rFonts w:ascii="Sylfaen" w:eastAsia="Times New Roman" w:hAnsi="Sylfaen" w:cs="Arial"/>
          <w:color w:val="000000"/>
          <w:kern w:val="0"/>
          <w:sz w:val="22"/>
          <w:szCs w:val="22"/>
          <w14:ligatures w14:val="none"/>
        </w:rPr>
        <w:t> The neo-Byzantine Poti Cathedral (modeled on the Hagia Sophia), the 1864 British-built cast-iron lighthouse, and the Valerian Gunia Professional Drama Theatre.</w:t>
      </w:r>
    </w:p>
    <w:p w14:paraId="250537B0" w14:textId="77777777" w:rsidR="0021529A" w:rsidRPr="0021529A" w:rsidRDefault="0021529A" w:rsidP="00595327">
      <w:pPr>
        <w:spacing w:line="276" w:lineRule="auto"/>
        <w:ind w:left="-180"/>
        <w:jc w:val="both"/>
        <w:rPr>
          <w:rFonts w:ascii="Sylfaen" w:hAnsi="Sylfaen"/>
          <w:sz w:val="22"/>
          <w:szCs w:val="22"/>
        </w:rPr>
      </w:pPr>
    </w:p>
    <w:sectPr w:rsidR="0021529A" w:rsidRPr="0021529A" w:rsidSect="0021529A">
      <w:pgSz w:w="12240" w:h="15840"/>
      <w:pgMar w:top="1089" w:right="1440" w:bottom="12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2E0354"/>
    <w:multiLevelType w:val="multilevel"/>
    <w:tmpl w:val="D36A1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AF58D5"/>
    <w:multiLevelType w:val="multilevel"/>
    <w:tmpl w:val="76D89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FC6495"/>
    <w:multiLevelType w:val="multilevel"/>
    <w:tmpl w:val="CB8E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6913CD"/>
    <w:multiLevelType w:val="multilevel"/>
    <w:tmpl w:val="A3C6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1C02EC"/>
    <w:multiLevelType w:val="multilevel"/>
    <w:tmpl w:val="7BA03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7363A1"/>
    <w:multiLevelType w:val="multilevel"/>
    <w:tmpl w:val="C75E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523334">
    <w:abstractNumId w:val="2"/>
  </w:num>
  <w:num w:numId="2" w16cid:durableId="1400518785">
    <w:abstractNumId w:val="0"/>
  </w:num>
  <w:num w:numId="3" w16cid:durableId="542835629">
    <w:abstractNumId w:val="4"/>
  </w:num>
  <w:num w:numId="4" w16cid:durableId="1227570339">
    <w:abstractNumId w:val="1"/>
  </w:num>
  <w:num w:numId="5" w16cid:durableId="1415397208">
    <w:abstractNumId w:val="5"/>
  </w:num>
  <w:num w:numId="6" w16cid:durableId="61984406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2A"/>
    <w:rsid w:val="0021529A"/>
    <w:rsid w:val="0025530F"/>
    <w:rsid w:val="002C6A6F"/>
    <w:rsid w:val="002F75B6"/>
    <w:rsid w:val="0032572A"/>
    <w:rsid w:val="00464C6A"/>
    <w:rsid w:val="00476D43"/>
    <w:rsid w:val="00595327"/>
    <w:rsid w:val="006102F6"/>
    <w:rsid w:val="0063130D"/>
    <w:rsid w:val="006322A9"/>
    <w:rsid w:val="0067003F"/>
    <w:rsid w:val="00855629"/>
    <w:rsid w:val="00871F57"/>
    <w:rsid w:val="00933043"/>
    <w:rsid w:val="00BC011A"/>
    <w:rsid w:val="00C32037"/>
    <w:rsid w:val="00D836F8"/>
    <w:rsid w:val="00E04252"/>
    <w:rsid w:val="00EB4DA3"/>
    <w:rsid w:val="00F00185"/>
    <w:rsid w:val="00F5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BDF27F"/>
  <w15:chartTrackingRefBased/>
  <w15:docId w15:val="{0E2EE85A-B1D1-D049-A4D6-761AD95D2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5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57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7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7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7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7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7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25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7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7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7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7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7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7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7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7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7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7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72A"/>
    <w:rPr>
      <w:b/>
      <w:bCs/>
      <w:smallCaps/>
      <w:color w:val="0F4761" w:themeColor="accent1" w:themeShade="BF"/>
      <w:spacing w:val="5"/>
    </w:rPr>
  </w:style>
  <w:style w:type="character" w:customStyle="1" w:styleId="citation-50">
    <w:name w:val="citation-50"/>
    <w:basedOn w:val="DefaultParagraphFont"/>
    <w:rsid w:val="0032572A"/>
  </w:style>
  <w:style w:type="character" w:customStyle="1" w:styleId="apple-converted-space">
    <w:name w:val="apple-converted-space"/>
    <w:basedOn w:val="DefaultParagraphFont"/>
    <w:rsid w:val="0032572A"/>
  </w:style>
  <w:style w:type="character" w:customStyle="1" w:styleId="citation-49">
    <w:name w:val="citation-49"/>
    <w:basedOn w:val="DefaultParagraphFont"/>
    <w:rsid w:val="0032572A"/>
  </w:style>
  <w:style w:type="character" w:customStyle="1" w:styleId="citation-48">
    <w:name w:val="citation-48"/>
    <w:basedOn w:val="DefaultParagraphFont"/>
    <w:rsid w:val="0032572A"/>
  </w:style>
  <w:style w:type="character" w:customStyle="1" w:styleId="citation-47">
    <w:name w:val="citation-47"/>
    <w:basedOn w:val="DefaultParagraphFont"/>
    <w:rsid w:val="0032572A"/>
  </w:style>
  <w:style w:type="character" w:customStyle="1" w:styleId="citation-46">
    <w:name w:val="citation-46"/>
    <w:basedOn w:val="DefaultParagraphFont"/>
    <w:rsid w:val="0032572A"/>
  </w:style>
  <w:style w:type="character" w:customStyle="1" w:styleId="citation-45">
    <w:name w:val="citation-45"/>
    <w:basedOn w:val="DefaultParagraphFont"/>
    <w:rsid w:val="0032572A"/>
  </w:style>
  <w:style w:type="character" w:customStyle="1" w:styleId="citation-44">
    <w:name w:val="citation-44"/>
    <w:basedOn w:val="DefaultParagraphFont"/>
    <w:rsid w:val="0032572A"/>
  </w:style>
  <w:style w:type="character" w:customStyle="1" w:styleId="citation-43">
    <w:name w:val="citation-43"/>
    <w:basedOn w:val="DefaultParagraphFont"/>
    <w:rsid w:val="0032572A"/>
  </w:style>
  <w:style w:type="character" w:customStyle="1" w:styleId="citation-42">
    <w:name w:val="citation-42"/>
    <w:basedOn w:val="DefaultParagraphFont"/>
    <w:rsid w:val="0032572A"/>
  </w:style>
  <w:style w:type="character" w:customStyle="1" w:styleId="citation-41">
    <w:name w:val="citation-41"/>
    <w:basedOn w:val="DefaultParagraphFont"/>
    <w:rsid w:val="0032572A"/>
  </w:style>
  <w:style w:type="character" w:customStyle="1" w:styleId="citation-40">
    <w:name w:val="citation-40"/>
    <w:basedOn w:val="DefaultParagraphFont"/>
    <w:rsid w:val="0032572A"/>
  </w:style>
  <w:style w:type="character" w:customStyle="1" w:styleId="citation-39">
    <w:name w:val="citation-39"/>
    <w:basedOn w:val="DefaultParagraphFont"/>
    <w:rsid w:val="0032572A"/>
  </w:style>
  <w:style w:type="character" w:customStyle="1" w:styleId="citation-38">
    <w:name w:val="citation-38"/>
    <w:basedOn w:val="DefaultParagraphFont"/>
    <w:rsid w:val="0032572A"/>
  </w:style>
  <w:style w:type="paragraph" w:styleId="NormalWeb">
    <w:name w:val="Normal (Web)"/>
    <w:basedOn w:val="Normal"/>
    <w:uiPriority w:val="99"/>
    <w:semiHidden/>
    <w:unhideWhenUsed/>
    <w:rsid w:val="00325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2572A"/>
    <w:rPr>
      <w:b/>
      <w:bCs/>
    </w:rPr>
  </w:style>
  <w:style w:type="character" w:customStyle="1" w:styleId="citation-104">
    <w:name w:val="citation-104"/>
    <w:basedOn w:val="DefaultParagraphFont"/>
    <w:rsid w:val="0021529A"/>
  </w:style>
  <w:style w:type="character" w:customStyle="1" w:styleId="citation-103">
    <w:name w:val="citation-103"/>
    <w:basedOn w:val="DefaultParagraphFont"/>
    <w:rsid w:val="0021529A"/>
  </w:style>
  <w:style w:type="character" w:customStyle="1" w:styleId="citation-102">
    <w:name w:val="citation-102"/>
    <w:basedOn w:val="DefaultParagraphFont"/>
    <w:rsid w:val="0021529A"/>
  </w:style>
  <w:style w:type="character" w:customStyle="1" w:styleId="citation-101">
    <w:name w:val="citation-101"/>
    <w:basedOn w:val="DefaultParagraphFont"/>
    <w:rsid w:val="0021529A"/>
  </w:style>
  <w:style w:type="character" w:customStyle="1" w:styleId="citation-100">
    <w:name w:val="citation-100"/>
    <w:basedOn w:val="DefaultParagraphFont"/>
    <w:rsid w:val="0021529A"/>
  </w:style>
  <w:style w:type="character" w:customStyle="1" w:styleId="citation-99">
    <w:name w:val="citation-99"/>
    <w:basedOn w:val="DefaultParagraphFont"/>
    <w:rsid w:val="0021529A"/>
  </w:style>
  <w:style w:type="character" w:customStyle="1" w:styleId="citation-98">
    <w:name w:val="citation-98"/>
    <w:basedOn w:val="DefaultParagraphFont"/>
    <w:rsid w:val="0021529A"/>
  </w:style>
  <w:style w:type="character" w:customStyle="1" w:styleId="citation-97">
    <w:name w:val="citation-97"/>
    <w:basedOn w:val="DefaultParagraphFont"/>
    <w:rsid w:val="0021529A"/>
  </w:style>
  <w:style w:type="character" w:customStyle="1" w:styleId="citation-96">
    <w:name w:val="citation-96"/>
    <w:basedOn w:val="DefaultParagraphFont"/>
    <w:rsid w:val="00215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shatakishvili</dc:creator>
  <cp:keywords/>
  <dc:description/>
  <cp:lastModifiedBy>david shatakishvili</cp:lastModifiedBy>
  <cp:revision>18</cp:revision>
  <dcterms:created xsi:type="dcterms:W3CDTF">2026-08-18T05:48:00Z</dcterms:created>
  <dcterms:modified xsi:type="dcterms:W3CDTF">2026-08-18T06:44:00Z</dcterms:modified>
</cp:coreProperties>
</file>