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25D40" w14:textId="77777777" w:rsidR="008B264F" w:rsidRDefault="008B264F" w:rsidP="008B264F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</w:t>
      </w:r>
    </w:p>
    <w:p w14:paraId="0081F36E" w14:textId="4483A252" w:rsidR="00257717" w:rsidRPr="00AE0E56" w:rsidRDefault="008B264F" w:rsidP="008B264F">
      <w:pPr>
        <w:rPr>
          <w:rFonts w:ascii="Arial" w:hAnsi="Arial" w:cs="Arial"/>
          <w:b/>
          <w:bCs/>
          <w:sz w:val="40"/>
          <w:szCs w:val="40"/>
        </w:rPr>
      </w:pPr>
      <w:r w:rsidRPr="008B264F">
        <w:rPr>
          <w:rFonts w:ascii="Arial" w:hAnsi="Arial" w:cs="Arial"/>
          <w:sz w:val="28"/>
          <w:szCs w:val="28"/>
        </w:rPr>
        <w:t>TISKOVÁ ZPRÁVA</w:t>
      </w:r>
      <w:r w:rsidRPr="008B264F">
        <w:rPr>
          <w:rFonts w:ascii="Arial" w:hAnsi="Arial" w:cs="Arial"/>
          <w:b/>
          <w:bCs/>
          <w:sz w:val="28"/>
          <w:szCs w:val="28"/>
        </w:rPr>
        <w:t xml:space="preserve">                                         </w:t>
      </w:r>
    </w:p>
    <w:p w14:paraId="14647132" w14:textId="77777777" w:rsidR="00257717" w:rsidRPr="000561DB" w:rsidRDefault="00257717" w:rsidP="00257717">
      <w:pPr>
        <w:spacing w:after="0" w:line="240" w:lineRule="auto"/>
        <w:rPr>
          <w:rFonts w:ascii="Arial" w:hAnsi="Arial" w:cs="Arial"/>
          <w:b/>
          <w:bCs/>
          <w:color w:val="1F497D"/>
          <w:sz w:val="40"/>
          <w:szCs w:val="24"/>
        </w:rPr>
      </w:pPr>
    </w:p>
    <w:p w14:paraId="6C574169" w14:textId="3F59BB90" w:rsidR="00970B00" w:rsidRPr="00AE0E56" w:rsidRDefault="00CE2562" w:rsidP="003A2995">
      <w:pPr>
        <w:spacing w:after="0" w:line="240" w:lineRule="auto"/>
        <w:rPr>
          <w:rFonts w:ascii="Arial" w:hAnsi="Arial" w:cs="Arial"/>
          <w:b/>
          <w:bCs/>
          <w:color w:val="1F497D"/>
          <w:sz w:val="36"/>
          <w:szCs w:val="36"/>
        </w:rPr>
      </w:pPr>
      <w:r>
        <w:rPr>
          <w:rFonts w:ascii="Arial" w:hAnsi="Arial" w:cs="Arial"/>
          <w:b/>
          <w:bCs/>
          <w:color w:val="1F497D"/>
          <w:sz w:val="36"/>
          <w:szCs w:val="36"/>
        </w:rPr>
        <w:t xml:space="preserve">Každý Čech loni vytřídil 90,5 kilogramu odpadů, z toho 69,1 kilogramu bylo přímo v systému obcí </w:t>
      </w:r>
    </w:p>
    <w:p w14:paraId="6A7551F7" w14:textId="07A3CD13" w:rsidR="00257717" w:rsidRPr="00AE0E56" w:rsidRDefault="00AA366F" w:rsidP="003A299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color w:val="000000"/>
          <w:sz w:val="32"/>
          <w:szCs w:val="20"/>
        </w:rPr>
        <w:br/>
      </w:r>
      <w:r w:rsidR="00257717" w:rsidRPr="00AE0E56">
        <w:rPr>
          <w:rFonts w:ascii="Arial" w:hAnsi="Arial" w:cs="Arial"/>
          <w:color w:val="000000"/>
        </w:rPr>
        <w:t>Praha,</w:t>
      </w:r>
      <w:r w:rsidR="008B264F">
        <w:rPr>
          <w:rFonts w:ascii="Arial" w:hAnsi="Arial" w:cs="Arial"/>
          <w:color w:val="000000"/>
        </w:rPr>
        <w:t xml:space="preserve">14. </w:t>
      </w:r>
      <w:r w:rsidR="00BE4658" w:rsidRPr="00AE0E56">
        <w:rPr>
          <w:rFonts w:ascii="Arial" w:hAnsi="Arial" w:cs="Arial"/>
          <w:color w:val="000000"/>
        </w:rPr>
        <w:t>května 202</w:t>
      </w:r>
      <w:r w:rsidR="007B459D">
        <w:rPr>
          <w:rFonts w:ascii="Arial" w:hAnsi="Arial" w:cs="Arial"/>
          <w:color w:val="000000"/>
        </w:rPr>
        <w:t>6</w:t>
      </w:r>
    </w:p>
    <w:p w14:paraId="31D659DB" w14:textId="77777777" w:rsidR="00257717" w:rsidRPr="00AE0E56" w:rsidRDefault="00257717" w:rsidP="003A2995">
      <w:pPr>
        <w:spacing w:after="0" w:line="240" w:lineRule="auto"/>
        <w:rPr>
          <w:rFonts w:ascii="Arial" w:hAnsi="Arial" w:cs="Arial"/>
          <w:b/>
          <w:bCs/>
          <w:color w:val="1F497D"/>
        </w:rPr>
      </w:pPr>
    </w:p>
    <w:p w14:paraId="25537D2C" w14:textId="575A90C7" w:rsidR="001741BC" w:rsidRDefault="0011694E" w:rsidP="006A245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 roce 202</w:t>
      </w:r>
      <w:r w:rsidR="00CE2562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vzniklo v</w:t>
      </w:r>
      <w:r w:rsidR="007C2F91">
        <w:rPr>
          <w:rFonts w:ascii="Arial" w:hAnsi="Arial" w:cs="Arial"/>
          <w:b/>
        </w:rPr>
        <w:t xml:space="preserve"> ČR </w:t>
      </w:r>
      <w:r w:rsidR="00ED7528">
        <w:rPr>
          <w:rFonts w:ascii="Arial" w:hAnsi="Arial" w:cs="Arial"/>
          <w:b/>
        </w:rPr>
        <w:t>1,3</w:t>
      </w:r>
      <w:r w:rsidR="00CC758F">
        <w:rPr>
          <w:rFonts w:ascii="Arial" w:hAnsi="Arial" w:cs="Arial"/>
          <w:b/>
        </w:rPr>
        <w:t>2</w:t>
      </w:r>
      <w:r w:rsidR="007C2F91">
        <w:rPr>
          <w:rFonts w:ascii="Arial" w:hAnsi="Arial" w:cs="Arial"/>
          <w:b/>
        </w:rPr>
        <w:t xml:space="preserve"> milionu tun obalového odpadu</w:t>
      </w:r>
      <w:r w:rsidR="00ED7528">
        <w:rPr>
          <w:rFonts w:ascii="Arial" w:hAnsi="Arial" w:cs="Arial"/>
          <w:b/>
        </w:rPr>
        <w:t xml:space="preserve">, což bylo meziročně zhruba o </w:t>
      </w:r>
      <w:r w:rsidR="00CC758F">
        <w:rPr>
          <w:rFonts w:ascii="Arial" w:hAnsi="Arial" w:cs="Arial"/>
          <w:b/>
        </w:rPr>
        <w:t xml:space="preserve">13,6 </w:t>
      </w:r>
      <w:r w:rsidR="00ED7528">
        <w:rPr>
          <w:rFonts w:ascii="Arial" w:hAnsi="Arial" w:cs="Arial"/>
          <w:b/>
        </w:rPr>
        <w:t>tisíc tun více</w:t>
      </w:r>
      <w:r w:rsidR="007C2F91">
        <w:rPr>
          <w:rFonts w:ascii="Arial" w:hAnsi="Arial" w:cs="Arial"/>
          <w:b/>
        </w:rPr>
        <w:t>.</w:t>
      </w:r>
      <w:r w:rsidR="00C64983">
        <w:rPr>
          <w:rFonts w:ascii="Arial" w:hAnsi="Arial" w:cs="Arial"/>
          <w:b/>
        </w:rPr>
        <w:t xml:space="preserve"> </w:t>
      </w:r>
      <w:r w:rsidR="00CC758F">
        <w:rPr>
          <w:rFonts w:ascii="Arial" w:hAnsi="Arial" w:cs="Arial"/>
          <w:b/>
        </w:rPr>
        <w:t>Díky aktivnímu přístupu obyvatel ČR k třídění se</w:t>
      </w:r>
      <w:r w:rsidR="00C64983">
        <w:rPr>
          <w:rFonts w:ascii="Arial" w:hAnsi="Arial" w:cs="Arial"/>
          <w:b/>
        </w:rPr>
        <w:t xml:space="preserve"> zvýšilo i množství vytříděného odpadu a míra recyklace nebo energetického využití</w:t>
      </w:r>
      <w:r w:rsidR="008655F2">
        <w:rPr>
          <w:rFonts w:ascii="Arial" w:hAnsi="Arial" w:cs="Arial"/>
          <w:b/>
        </w:rPr>
        <w:t xml:space="preserve"> obalů</w:t>
      </w:r>
      <w:r w:rsidR="00C64983">
        <w:rPr>
          <w:rFonts w:ascii="Arial" w:hAnsi="Arial" w:cs="Arial"/>
          <w:b/>
        </w:rPr>
        <w:t>. Každý obyvatel loni vytřídil v</w:t>
      </w:r>
      <w:r w:rsidR="00F71D11">
        <w:rPr>
          <w:rFonts w:ascii="Arial" w:hAnsi="Arial" w:cs="Arial"/>
          <w:b/>
        </w:rPr>
        <w:t xml:space="preserve"> systému obcí </w:t>
      </w:r>
      <w:r w:rsidR="00C64983">
        <w:rPr>
          <w:rFonts w:ascii="Arial" w:hAnsi="Arial" w:cs="Arial"/>
          <w:b/>
        </w:rPr>
        <w:t xml:space="preserve">průměru </w:t>
      </w:r>
      <w:r w:rsidR="00F71D11">
        <w:rPr>
          <w:rFonts w:ascii="Arial" w:hAnsi="Arial" w:cs="Arial"/>
          <w:b/>
        </w:rPr>
        <w:t>69,</w:t>
      </w:r>
      <w:r w:rsidR="00CC758F">
        <w:rPr>
          <w:rFonts w:ascii="Arial" w:hAnsi="Arial" w:cs="Arial"/>
          <w:b/>
        </w:rPr>
        <w:t>1</w:t>
      </w:r>
      <w:r w:rsidR="00F71D11">
        <w:rPr>
          <w:rFonts w:ascii="Arial" w:hAnsi="Arial" w:cs="Arial"/>
          <w:b/>
        </w:rPr>
        <w:t xml:space="preserve"> kg odpadů. </w:t>
      </w:r>
      <w:r w:rsidR="00D41EB6">
        <w:rPr>
          <w:rFonts w:ascii="Arial" w:hAnsi="Arial" w:cs="Arial"/>
          <w:b/>
        </w:rPr>
        <w:t xml:space="preserve">Vyplývá to z aktuálních statistik </w:t>
      </w:r>
      <w:r w:rsidR="00F71D11">
        <w:rPr>
          <w:rFonts w:ascii="Arial" w:hAnsi="Arial" w:cs="Arial"/>
          <w:b/>
        </w:rPr>
        <w:t xml:space="preserve">Autorizované obalové </w:t>
      </w:r>
      <w:r w:rsidR="00D41EB6">
        <w:rPr>
          <w:rFonts w:ascii="Arial" w:hAnsi="Arial" w:cs="Arial"/>
          <w:b/>
        </w:rPr>
        <w:t xml:space="preserve">společnosti EKO-KOM. </w:t>
      </w:r>
      <w:r w:rsidR="001741BC">
        <w:rPr>
          <w:rFonts w:ascii="Arial" w:hAnsi="Arial" w:cs="Arial"/>
          <w:b/>
        </w:rPr>
        <w:t xml:space="preserve"> </w:t>
      </w:r>
    </w:p>
    <w:p w14:paraId="03833FC2" w14:textId="77777777" w:rsidR="001741BC" w:rsidRDefault="001741BC" w:rsidP="006A245D">
      <w:pPr>
        <w:spacing w:after="0" w:line="240" w:lineRule="auto"/>
        <w:rPr>
          <w:rFonts w:ascii="Arial" w:hAnsi="Arial" w:cs="Arial"/>
          <w:b/>
        </w:rPr>
      </w:pPr>
    </w:p>
    <w:p w14:paraId="134F5B03" w14:textId="543F789F" w:rsidR="007C2F91" w:rsidRPr="00380BDA" w:rsidRDefault="001741BC" w:rsidP="008B264F">
      <w:pPr>
        <w:spacing w:after="0" w:line="240" w:lineRule="auto"/>
        <w:rPr>
          <w:rFonts w:ascii="Arial" w:hAnsi="Arial" w:cs="Arial"/>
        </w:rPr>
      </w:pPr>
      <w:r w:rsidRPr="00380BDA">
        <w:rPr>
          <w:rFonts w:ascii="Arial" w:hAnsi="Arial" w:cs="Arial"/>
        </w:rPr>
        <w:t xml:space="preserve">V odpadových systémech obcí a měst ČR loni občané vytřídili </w:t>
      </w:r>
      <w:r w:rsidR="0083483A">
        <w:rPr>
          <w:rFonts w:ascii="Arial" w:hAnsi="Arial" w:cs="Arial"/>
        </w:rPr>
        <w:t>přes</w:t>
      </w:r>
      <w:r w:rsidR="0083483A" w:rsidRPr="00380BDA">
        <w:rPr>
          <w:rFonts w:ascii="Arial" w:hAnsi="Arial" w:cs="Arial"/>
        </w:rPr>
        <w:t xml:space="preserve"> </w:t>
      </w:r>
      <w:r w:rsidR="00F71D11" w:rsidRPr="0027051F">
        <w:rPr>
          <w:rFonts w:ascii="Arial" w:hAnsi="Arial" w:cs="Arial"/>
        </w:rPr>
        <w:t>7</w:t>
      </w:r>
      <w:r w:rsidR="00255A21">
        <w:rPr>
          <w:rFonts w:ascii="Arial" w:hAnsi="Arial" w:cs="Arial"/>
        </w:rPr>
        <w:t>52</w:t>
      </w:r>
      <w:r w:rsidR="00F71D11" w:rsidRPr="00380BDA">
        <w:rPr>
          <w:rFonts w:ascii="Arial" w:hAnsi="Arial" w:cs="Arial"/>
        </w:rPr>
        <w:t xml:space="preserve"> </w:t>
      </w:r>
      <w:r w:rsidR="00656E6B" w:rsidRPr="00380BDA">
        <w:rPr>
          <w:rFonts w:ascii="Arial" w:hAnsi="Arial" w:cs="Arial"/>
        </w:rPr>
        <w:t>tisíc tun využitelných odpadů</w:t>
      </w:r>
      <w:r w:rsidRPr="00380BDA">
        <w:rPr>
          <w:rFonts w:ascii="Arial" w:hAnsi="Arial" w:cs="Arial"/>
        </w:rPr>
        <w:t xml:space="preserve">, </w:t>
      </w:r>
      <w:r w:rsidR="00380BDA" w:rsidRPr="0027051F">
        <w:rPr>
          <w:rFonts w:ascii="Arial" w:hAnsi="Arial" w:cs="Arial"/>
        </w:rPr>
        <w:t xml:space="preserve">zhruba </w:t>
      </w:r>
      <w:r w:rsidR="00255A21">
        <w:rPr>
          <w:rFonts w:ascii="Arial" w:hAnsi="Arial" w:cs="Arial"/>
        </w:rPr>
        <w:t>59</w:t>
      </w:r>
      <w:r w:rsidR="00255A21" w:rsidRPr="0027051F">
        <w:rPr>
          <w:rFonts w:ascii="Arial" w:hAnsi="Arial" w:cs="Arial"/>
        </w:rPr>
        <w:t xml:space="preserve"> </w:t>
      </w:r>
      <w:r w:rsidRPr="0027051F">
        <w:rPr>
          <w:rFonts w:ascii="Arial" w:hAnsi="Arial" w:cs="Arial"/>
        </w:rPr>
        <w:t>%</w:t>
      </w:r>
      <w:r w:rsidR="00656E6B" w:rsidRPr="00380BDA">
        <w:rPr>
          <w:rFonts w:ascii="Arial" w:hAnsi="Arial" w:cs="Arial"/>
        </w:rPr>
        <w:t xml:space="preserve"> z toho tvořily obaly. </w:t>
      </w:r>
      <w:r w:rsidR="00380BDA" w:rsidRPr="00380BDA">
        <w:rPr>
          <w:rFonts w:ascii="Arial" w:hAnsi="Arial" w:cs="Arial"/>
        </w:rPr>
        <w:t xml:space="preserve">Dalších cca </w:t>
      </w:r>
      <w:r w:rsidR="00255A21">
        <w:rPr>
          <w:rFonts w:ascii="Arial" w:hAnsi="Arial" w:cs="Arial"/>
        </w:rPr>
        <w:t>233</w:t>
      </w:r>
      <w:r w:rsidR="00255A21" w:rsidRPr="00380BDA">
        <w:rPr>
          <w:rFonts w:ascii="Arial" w:hAnsi="Arial" w:cs="Arial"/>
        </w:rPr>
        <w:t xml:space="preserve"> </w:t>
      </w:r>
      <w:r w:rsidR="00380BDA" w:rsidRPr="00380BDA">
        <w:rPr>
          <w:rFonts w:ascii="Arial" w:hAnsi="Arial" w:cs="Arial"/>
        </w:rPr>
        <w:t xml:space="preserve">tisíc tun odpadů pak lidé vytřídili prostřednictvím samostatně zapojených výkupen, které nevykazují data přes obecní výkazy, ale přímo AOS EKO-KOM. Podle statistik EKO-KOM tak každý obyvatel vytřídil v průměru </w:t>
      </w:r>
      <w:r w:rsidR="00255A21">
        <w:rPr>
          <w:rFonts w:ascii="Arial" w:hAnsi="Arial" w:cs="Arial"/>
        </w:rPr>
        <w:t>90,5</w:t>
      </w:r>
      <w:r w:rsidR="00380BDA" w:rsidRPr="00380BDA">
        <w:rPr>
          <w:rFonts w:ascii="Arial" w:hAnsi="Arial" w:cs="Arial"/>
        </w:rPr>
        <w:t xml:space="preserve"> kg odpadů, </w:t>
      </w:r>
      <w:r w:rsidR="00243CDF">
        <w:rPr>
          <w:rFonts w:ascii="Arial" w:hAnsi="Arial" w:cs="Arial"/>
        </w:rPr>
        <w:t xml:space="preserve">přímo </w:t>
      </w:r>
      <w:r w:rsidR="00380BDA" w:rsidRPr="00380BDA">
        <w:rPr>
          <w:rFonts w:ascii="Arial" w:hAnsi="Arial" w:cs="Arial"/>
        </w:rPr>
        <w:t xml:space="preserve">v systému obcí to bylo </w:t>
      </w:r>
      <w:r w:rsidR="0027051F">
        <w:rPr>
          <w:rFonts w:ascii="Arial" w:hAnsi="Arial" w:cs="Arial"/>
        </w:rPr>
        <w:t>69,</w:t>
      </w:r>
      <w:r w:rsidR="00255A21">
        <w:rPr>
          <w:rFonts w:ascii="Arial" w:hAnsi="Arial" w:cs="Arial"/>
        </w:rPr>
        <w:t>1</w:t>
      </w:r>
      <w:r w:rsidR="00380BDA" w:rsidRPr="00380BDA">
        <w:rPr>
          <w:rFonts w:ascii="Arial" w:hAnsi="Arial" w:cs="Arial"/>
        </w:rPr>
        <w:t xml:space="preserve"> kilogramu odpadů</w:t>
      </w:r>
      <w:r w:rsidR="00380BDA">
        <w:rPr>
          <w:rFonts w:ascii="Arial" w:hAnsi="Arial" w:cs="Arial"/>
        </w:rPr>
        <w:t>.</w:t>
      </w:r>
      <w:r w:rsidR="00380BDA" w:rsidRPr="00380BDA">
        <w:rPr>
          <w:rFonts w:ascii="Arial" w:hAnsi="Arial" w:cs="Arial"/>
        </w:rPr>
        <w:t xml:space="preserve"> </w:t>
      </w:r>
      <w:r w:rsidR="00380BDA" w:rsidRPr="00380BDA">
        <w:rPr>
          <w:rFonts w:ascii="Arial" w:hAnsi="Arial" w:cs="Arial"/>
        </w:rPr>
        <w:br/>
      </w:r>
    </w:p>
    <w:p w14:paraId="0FA8F25C" w14:textId="4AE7054B" w:rsidR="00F6676E" w:rsidRDefault="0027051F" w:rsidP="008B264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3115BB">
        <w:rPr>
          <w:rFonts w:ascii="Arial" w:hAnsi="Arial" w:cs="Arial"/>
        </w:rPr>
        <w:t xml:space="preserve">ejvíce tříděného odpadu </w:t>
      </w:r>
      <w:r>
        <w:rPr>
          <w:rFonts w:ascii="Arial" w:hAnsi="Arial" w:cs="Arial"/>
        </w:rPr>
        <w:t xml:space="preserve">se v obcích sebralo </w:t>
      </w:r>
      <w:r w:rsidR="003115BB">
        <w:rPr>
          <w:rFonts w:ascii="Arial" w:hAnsi="Arial" w:cs="Arial"/>
        </w:rPr>
        <w:t xml:space="preserve">prostřednictvím </w:t>
      </w:r>
      <w:r>
        <w:rPr>
          <w:rFonts w:ascii="Arial" w:hAnsi="Arial" w:cs="Arial"/>
        </w:rPr>
        <w:t>kontejnerů a menších nádob</w:t>
      </w:r>
      <w:r w:rsidR="000874E1">
        <w:rPr>
          <w:rFonts w:ascii="Arial" w:hAnsi="Arial" w:cs="Arial"/>
        </w:rPr>
        <w:t xml:space="preserve"> na veřejných prostranstvích</w:t>
      </w:r>
      <w:r>
        <w:rPr>
          <w:rFonts w:ascii="Arial" w:hAnsi="Arial" w:cs="Arial"/>
        </w:rPr>
        <w:t xml:space="preserve">. </w:t>
      </w:r>
      <w:r w:rsidR="003115BB">
        <w:rPr>
          <w:rFonts w:ascii="Arial" w:hAnsi="Arial" w:cs="Arial"/>
        </w:rPr>
        <w:t xml:space="preserve">Do nich vytřídil každý občan v průměru </w:t>
      </w:r>
      <w:r w:rsidR="00255A21">
        <w:rPr>
          <w:rFonts w:ascii="Arial" w:hAnsi="Arial" w:cs="Arial"/>
        </w:rPr>
        <w:t>15,9</w:t>
      </w:r>
      <w:r w:rsidR="000874E1" w:rsidRPr="000874E1">
        <w:rPr>
          <w:rFonts w:ascii="Arial" w:hAnsi="Arial" w:cs="Arial"/>
        </w:rPr>
        <w:t xml:space="preserve"> kg papíru, </w:t>
      </w:r>
      <w:r w:rsidR="00255A21">
        <w:rPr>
          <w:rFonts w:ascii="Arial" w:hAnsi="Arial" w:cs="Arial"/>
        </w:rPr>
        <w:t>13,9</w:t>
      </w:r>
      <w:r w:rsidR="000874E1" w:rsidRPr="000874E1">
        <w:rPr>
          <w:rFonts w:ascii="Arial" w:hAnsi="Arial" w:cs="Arial"/>
        </w:rPr>
        <w:t xml:space="preserve"> kg plastu, </w:t>
      </w:r>
      <w:r w:rsidR="00255A21">
        <w:rPr>
          <w:rFonts w:ascii="Arial" w:hAnsi="Arial" w:cs="Arial"/>
        </w:rPr>
        <w:t>13,4</w:t>
      </w:r>
      <w:r w:rsidR="000874E1" w:rsidRPr="000874E1">
        <w:rPr>
          <w:rFonts w:ascii="Arial" w:hAnsi="Arial" w:cs="Arial"/>
        </w:rPr>
        <w:t xml:space="preserve"> kg skla, 0,</w:t>
      </w:r>
      <w:r w:rsidR="00255A21">
        <w:rPr>
          <w:rFonts w:ascii="Arial" w:hAnsi="Arial" w:cs="Arial"/>
        </w:rPr>
        <w:t>4</w:t>
      </w:r>
      <w:r w:rsidR="000874E1" w:rsidRPr="000874E1">
        <w:rPr>
          <w:rFonts w:ascii="Arial" w:hAnsi="Arial" w:cs="Arial"/>
        </w:rPr>
        <w:t xml:space="preserve"> kg nápojových kartonů a 0,</w:t>
      </w:r>
      <w:r w:rsidR="00255A21">
        <w:rPr>
          <w:rFonts w:ascii="Arial" w:hAnsi="Arial" w:cs="Arial"/>
        </w:rPr>
        <w:t>8</w:t>
      </w:r>
      <w:r w:rsidR="000874E1" w:rsidRPr="000874E1">
        <w:rPr>
          <w:rFonts w:ascii="Arial" w:hAnsi="Arial" w:cs="Arial"/>
        </w:rPr>
        <w:t xml:space="preserve"> kg kovů. </w:t>
      </w:r>
      <w:r w:rsidR="000874E1">
        <w:rPr>
          <w:rFonts w:ascii="Arial" w:hAnsi="Arial" w:cs="Arial"/>
        </w:rPr>
        <w:t>Zároveň ale s</w:t>
      </w:r>
      <w:r w:rsidR="000874E1" w:rsidRPr="000874E1">
        <w:rPr>
          <w:rFonts w:ascii="Arial" w:hAnsi="Arial" w:cs="Arial"/>
        </w:rPr>
        <w:t>tále roste podíl odpadu vytříděného individuálními prostředky, především prostřednictvím individuálních nádob určených pro jednotlivé domácnosti. V roce 202</w:t>
      </w:r>
      <w:r w:rsidR="00255A21">
        <w:rPr>
          <w:rFonts w:ascii="Arial" w:hAnsi="Arial" w:cs="Arial"/>
        </w:rPr>
        <w:t xml:space="preserve">5 </w:t>
      </w:r>
      <w:r w:rsidR="000874E1">
        <w:rPr>
          <w:rFonts w:ascii="Arial" w:hAnsi="Arial" w:cs="Arial"/>
        </w:rPr>
        <w:t xml:space="preserve">tímto způsobem vytřídil každý </w:t>
      </w:r>
      <w:r w:rsidR="000874E1" w:rsidRPr="00EE1800">
        <w:rPr>
          <w:rFonts w:ascii="Arial" w:hAnsi="Arial" w:cs="Arial"/>
        </w:rPr>
        <w:t xml:space="preserve">obyvatel ČR v průměru </w:t>
      </w:r>
      <w:r w:rsidR="00255A21">
        <w:rPr>
          <w:rFonts w:ascii="Arial" w:hAnsi="Arial" w:cs="Arial"/>
        </w:rPr>
        <w:t>2,4</w:t>
      </w:r>
      <w:r w:rsidR="000874E1" w:rsidRPr="00EE1800">
        <w:rPr>
          <w:rFonts w:ascii="Arial" w:hAnsi="Arial" w:cs="Arial"/>
        </w:rPr>
        <w:t xml:space="preserve"> kg papíru a </w:t>
      </w:r>
      <w:r w:rsidR="00255A21">
        <w:rPr>
          <w:rFonts w:ascii="Arial" w:hAnsi="Arial" w:cs="Arial"/>
        </w:rPr>
        <w:t>2,8</w:t>
      </w:r>
      <w:r w:rsidR="000874E1" w:rsidRPr="00EE1800">
        <w:rPr>
          <w:rFonts w:ascii="Arial" w:hAnsi="Arial" w:cs="Arial"/>
        </w:rPr>
        <w:t xml:space="preserve"> kg plastu</w:t>
      </w:r>
      <w:r w:rsidR="00EE1800" w:rsidRPr="00EE1800">
        <w:rPr>
          <w:rFonts w:ascii="Arial" w:hAnsi="Arial" w:cs="Arial"/>
        </w:rPr>
        <w:t xml:space="preserve">. Dalších </w:t>
      </w:r>
      <w:r w:rsidR="00255A21">
        <w:rPr>
          <w:rFonts w:ascii="Arial" w:hAnsi="Arial" w:cs="Arial"/>
        </w:rPr>
        <w:t>1,7</w:t>
      </w:r>
      <w:r w:rsidR="00EE1800" w:rsidRPr="00EE1800">
        <w:rPr>
          <w:rFonts w:ascii="Arial" w:hAnsi="Arial" w:cs="Arial"/>
        </w:rPr>
        <w:t xml:space="preserve"> kg papíru a </w:t>
      </w:r>
      <w:r w:rsidR="00255A21">
        <w:rPr>
          <w:rFonts w:ascii="Arial" w:hAnsi="Arial" w:cs="Arial"/>
        </w:rPr>
        <w:t>19,7</w:t>
      </w:r>
      <w:r w:rsidR="00EE1800" w:rsidRPr="00EE1800">
        <w:rPr>
          <w:rFonts w:ascii="Arial" w:hAnsi="Arial" w:cs="Arial"/>
        </w:rPr>
        <w:t xml:space="preserve"> kg kovů pak vytřídil každý obyvatel </w:t>
      </w:r>
      <w:r w:rsidR="000874E1" w:rsidRPr="00EE1800">
        <w:rPr>
          <w:rFonts w:ascii="Arial" w:hAnsi="Arial" w:cs="Arial"/>
        </w:rPr>
        <w:t>prostřednictvím pytlových sběrů, sběrných dvorů, sběrných míst či výkupen</w:t>
      </w:r>
      <w:r w:rsidR="00EE1800" w:rsidRPr="00EE1800">
        <w:rPr>
          <w:rFonts w:ascii="Arial" w:hAnsi="Arial" w:cs="Arial"/>
        </w:rPr>
        <w:t>.</w:t>
      </w:r>
      <w:r w:rsidR="000874E1" w:rsidRPr="00EE1800">
        <w:rPr>
          <w:rFonts w:ascii="Arial" w:hAnsi="Arial" w:cs="Arial"/>
        </w:rPr>
        <w:t xml:space="preserve"> </w:t>
      </w:r>
      <w:r w:rsidR="007C568A" w:rsidRPr="00EE1800">
        <w:rPr>
          <w:rFonts w:ascii="Arial" w:hAnsi="Arial" w:cs="Arial"/>
        </w:rPr>
        <w:t xml:space="preserve"> </w:t>
      </w:r>
    </w:p>
    <w:p w14:paraId="759D81B3" w14:textId="77777777" w:rsidR="00F6676E" w:rsidRDefault="00F6676E" w:rsidP="008B264F">
      <w:pPr>
        <w:spacing w:after="0" w:line="240" w:lineRule="auto"/>
        <w:jc w:val="both"/>
        <w:rPr>
          <w:rFonts w:ascii="Arial" w:hAnsi="Arial" w:cs="Arial"/>
        </w:rPr>
      </w:pPr>
    </w:p>
    <w:p w14:paraId="0858F359" w14:textId="5A632B78" w:rsidR="004E27F1" w:rsidRPr="00AE0E56" w:rsidRDefault="004E27F1" w:rsidP="008B264F">
      <w:pPr>
        <w:spacing w:after="0" w:line="240" w:lineRule="auto"/>
        <w:rPr>
          <w:rFonts w:ascii="Arial" w:hAnsi="Arial" w:cs="Arial"/>
        </w:rPr>
      </w:pPr>
      <w:r w:rsidRPr="00AE0E56">
        <w:rPr>
          <w:rFonts w:ascii="Arial" w:hAnsi="Arial" w:cs="Arial"/>
          <w:b/>
        </w:rPr>
        <w:t>Komfortní</w:t>
      </w:r>
      <w:r w:rsidR="008B264F">
        <w:rPr>
          <w:rFonts w:ascii="Arial" w:hAnsi="Arial" w:cs="Arial"/>
          <w:b/>
        </w:rPr>
        <w:t xml:space="preserve"> </w:t>
      </w:r>
      <w:r w:rsidRPr="00AE0E56">
        <w:rPr>
          <w:rFonts w:ascii="Arial" w:hAnsi="Arial" w:cs="Arial"/>
          <w:b/>
        </w:rPr>
        <w:t xml:space="preserve">sběrná síť </w:t>
      </w:r>
      <w:r w:rsidRPr="00AE0E56">
        <w:rPr>
          <w:rFonts w:ascii="Arial" w:hAnsi="Arial" w:cs="Arial"/>
          <w:b/>
        </w:rPr>
        <w:br/>
      </w:r>
      <w:r w:rsidR="00B15FF8" w:rsidRPr="00AE0E56">
        <w:rPr>
          <w:rFonts w:ascii="Arial" w:hAnsi="Arial" w:cs="Arial"/>
        </w:rPr>
        <w:t>Díky léty prověřené spolupráci měst a obcí ČR</w:t>
      </w:r>
      <w:r w:rsidR="00200B8C" w:rsidRPr="00AE0E56">
        <w:rPr>
          <w:rFonts w:ascii="Arial" w:hAnsi="Arial" w:cs="Arial"/>
        </w:rPr>
        <w:t xml:space="preserve"> a firem zapojených v </w:t>
      </w:r>
      <w:r w:rsidR="008101AF">
        <w:rPr>
          <w:rFonts w:ascii="Arial" w:hAnsi="Arial" w:cs="Arial"/>
        </w:rPr>
        <w:t>S</w:t>
      </w:r>
      <w:r w:rsidR="00200B8C" w:rsidRPr="00AE0E56">
        <w:rPr>
          <w:rFonts w:ascii="Arial" w:hAnsi="Arial" w:cs="Arial"/>
        </w:rPr>
        <w:t xml:space="preserve">ystému </w:t>
      </w:r>
      <w:r w:rsidR="00E275B6">
        <w:rPr>
          <w:rFonts w:ascii="Arial" w:hAnsi="Arial" w:cs="Arial"/>
        </w:rPr>
        <w:t xml:space="preserve">EKO-KOM </w:t>
      </w:r>
      <w:r w:rsidR="00200B8C" w:rsidRPr="00AE0E56">
        <w:rPr>
          <w:rFonts w:ascii="Arial" w:hAnsi="Arial" w:cs="Arial"/>
        </w:rPr>
        <w:t>dochází každoročně k zahušťování sběrné sítě</w:t>
      </w:r>
      <w:r w:rsidR="00CD346A">
        <w:rPr>
          <w:rFonts w:ascii="Arial" w:hAnsi="Arial" w:cs="Arial"/>
        </w:rPr>
        <w:t xml:space="preserve"> pro tříděný odpad</w:t>
      </w:r>
      <w:r w:rsidR="00200B8C" w:rsidRPr="00AE0E56">
        <w:rPr>
          <w:rFonts w:ascii="Arial" w:hAnsi="Arial" w:cs="Arial"/>
        </w:rPr>
        <w:t xml:space="preserve">. </w:t>
      </w:r>
      <w:r w:rsidR="007E3DFF">
        <w:rPr>
          <w:rFonts w:ascii="Arial" w:hAnsi="Arial" w:cs="Arial"/>
        </w:rPr>
        <w:t>Rostoucí trend pokračoval i v roce 202</w:t>
      </w:r>
      <w:r w:rsidR="00255A21">
        <w:rPr>
          <w:rFonts w:ascii="Arial" w:hAnsi="Arial" w:cs="Arial"/>
        </w:rPr>
        <w:t>5</w:t>
      </w:r>
      <w:r w:rsidR="007E3DFF">
        <w:rPr>
          <w:rFonts w:ascii="Arial" w:hAnsi="Arial" w:cs="Arial"/>
        </w:rPr>
        <w:t xml:space="preserve">, </w:t>
      </w:r>
      <w:r w:rsidR="00200B8C" w:rsidRPr="00AE0E56">
        <w:rPr>
          <w:rFonts w:ascii="Arial" w:hAnsi="Arial" w:cs="Arial"/>
        </w:rPr>
        <w:t xml:space="preserve">kdy se celkový počet barevných kontejnerů a menších nádob na tříděný odpad zvýšil </w:t>
      </w:r>
      <w:r w:rsidR="0027051F">
        <w:rPr>
          <w:rFonts w:ascii="Arial" w:hAnsi="Arial" w:cs="Arial"/>
        </w:rPr>
        <w:t>na více než 1,</w:t>
      </w:r>
      <w:r w:rsidR="007B459D">
        <w:rPr>
          <w:rFonts w:ascii="Arial" w:hAnsi="Arial" w:cs="Arial"/>
        </w:rPr>
        <w:t xml:space="preserve">218 </w:t>
      </w:r>
      <w:r w:rsidR="0027051F">
        <w:rPr>
          <w:rFonts w:ascii="Arial" w:hAnsi="Arial" w:cs="Arial"/>
        </w:rPr>
        <w:t>milionu kusů.</w:t>
      </w:r>
      <w:r w:rsidR="007E3DFF">
        <w:rPr>
          <w:rFonts w:ascii="Arial" w:hAnsi="Arial" w:cs="Arial"/>
        </w:rPr>
        <w:t xml:space="preserve"> </w:t>
      </w:r>
      <w:r w:rsidR="0054234C">
        <w:rPr>
          <w:rFonts w:ascii="Arial" w:hAnsi="Arial" w:cs="Arial"/>
        </w:rPr>
        <w:t>Aktuálně tak lidé</w:t>
      </w:r>
      <w:r w:rsidR="007E3DFF">
        <w:rPr>
          <w:rFonts w:ascii="Arial" w:hAnsi="Arial" w:cs="Arial"/>
        </w:rPr>
        <w:t xml:space="preserve"> v ČR mohou třídit odpady do </w:t>
      </w:r>
      <w:r w:rsidR="007B459D">
        <w:rPr>
          <w:rFonts w:ascii="Arial" w:hAnsi="Arial" w:cs="Arial"/>
        </w:rPr>
        <w:t xml:space="preserve">338 </w:t>
      </w:r>
      <w:r w:rsidR="007E3DFF">
        <w:rPr>
          <w:rFonts w:ascii="Arial" w:hAnsi="Arial" w:cs="Arial"/>
        </w:rPr>
        <w:t xml:space="preserve">tisíc barevných kontejnerů rozmístěných </w:t>
      </w:r>
      <w:r w:rsidR="007E3DFF" w:rsidRPr="007E3DFF">
        <w:rPr>
          <w:rFonts w:ascii="Arial" w:hAnsi="Arial" w:cs="Arial"/>
        </w:rPr>
        <w:t xml:space="preserve">na veřejných prostranstvích </w:t>
      </w:r>
      <w:r w:rsidR="007E3DFF">
        <w:rPr>
          <w:rFonts w:ascii="Arial" w:hAnsi="Arial" w:cs="Arial"/>
        </w:rPr>
        <w:t xml:space="preserve">a </w:t>
      </w:r>
      <w:r w:rsidR="0027051F">
        <w:rPr>
          <w:rFonts w:ascii="Arial" w:hAnsi="Arial" w:cs="Arial"/>
        </w:rPr>
        <w:t xml:space="preserve">více než </w:t>
      </w:r>
      <w:r w:rsidR="007B459D">
        <w:rPr>
          <w:rFonts w:ascii="Arial" w:hAnsi="Arial" w:cs="Arial"/>
        </w:rPr>
        <w:t>879</w:t>
      </w:r>
      <w:r w:rsidR="007B459D" w:rsidRPr="007E3DFF">
        <w:rPr>
          <w:rFonts w:ascii="Arial" w:hAnsi="Arial" w:cs="Arial"/>
        </w:rPr>
        <w:t xml:space="preserve"> </w:t>
      </w:r>
      <w:r w:rsidR="007E3DFF" w:rsidRPr="007E3DFF">
        <w:rPr>
          <w:rFonts w:ascii="Arial" w:hAnsi="Arial" w:cs="Arial"/>
        </w:rPr>
        <w:t>tis</w:t>
      </w:r>
      <w:r w:rsidR="00407F3F">
        <w:rPr>
          <w:rFonts w:ascii="Arial" w:hAnsi="Arial" w:cs="Arial"/>
        </w:rPr>
        <w:t>íc</w:t>
      </w:r>
      <w:r w:rsidR="007E3DFF" w:rsidRPr="007E3DFF">
        <w:rPr>
          <w:rFonts w:ascii="Arial" w:hAnsi="Arial" w:cs="Arial"/>
        </w:rPr>
        <w:t xml:space="preserve"> </w:t>
      </w:r>
      <w:r w:rsidR="007E3DFF">
        <w:rPr>
          <w:rFonts w:ascii="Arial" w:hAnsi="Arial" w:cs="Arial"/>
        </w:rPr>
        <w:t>nádob</w:t>
      </w:r>
      <w:r w:rsidR="007E3DFF" w:rsidRPr="007E3DFF">
        <w:rPr>
          <w:rFonts w:ascii="Arial" w:hAnsi="Arial" w:cs="Arial"/>
        </w:rPr>
        <w:t xml:space="preserve"> určen</w:t>
      </w:r>
      <w:r w:rsidR="007E3DFF">
        <w:rPr>
          <w:rFonts w:ascii="Arial" w:hAnsi="Arial" w:cs="Arial"/>
        </w:rPr>
        <w:t>ých</w:t>
      </w:r>
      <w:r w:rsidR="007E3DFF" w:rsidRPr="007E3DFF">
        <w:rPr>
          <w:rFonts w:ascii="Arial" w:hAnsi="Arial" w:cs="Arial"/>
        </w:rPr>
        <w:t xml:space="preserve"> pro individuální sběr</w:t>
      </w:r>
      <w:r w:rsidR="007E3DFF">
        <w:rPr>
          <w:rFonts w:ascii="Arial" w:hAnsi="Arial" w:cs="Arial"/>
        </w:rPr>
        <w:t xml:space="preserve"> tříděného odpadu </w:t>
      </w:r>
      <w:r w:rsidR="002A3079">
        <w:rPr>
          <w:rFonts w:ascii="Arial" w:hAnsi="Arial" w:cs="Arial"/>
        </w:rPr>
        <w:t>umístěných přímo u</w:t>
      </w:r>
      <w:r w:rsidR="002A3079" w:rsidRPr="007E3DFF">
        <w:rPr>
          <w:rFonts w:ascii="Arial" w:hAnsi="Arial" w:cs="Arial"/>
        </w:rPr>
        <w:t xml:space="preserve"> </w:t>
      </w:r>
      <w:r w:rsidR="007E3DFF" w:rsidRPr="007E3DFF">
        <w:rPr>
          <w:rFonts w:ascii="Arial" w:hAnsi="Arial" w:cs="Arial"/>
        </w:rPr>
        <w:t>jednotlivých domácnost</w:t>
      </w:r>
      <w:r w:rsidR="002A3079">
        <w:rPr>
          <w:rFonts w:ascii="Arial" w:hAnsi="Arial" w:cs="Arial"/>
        </w:rPr>
        <w:t>í</w:t>
      </w:r>
      <w:r w:rsidR="007E3DFF">
        <w:rPr>
          <w:rFonts w:ascii="Arial" w:hAnsi="Arial" w:cs="Arial"/>
        </w:rPr>
        <w:t xml:space="preserve">. </w:t>
      </w:r>
      <w:r w:rsidR="00200B8C" w:rsidRPr="00AE0E56">
        <w:rPr>
          <w:rFonts w:ascii="Arial" w:hAnsi="Arial" w:cs="Arial"/>
        </w:rPr>
        <w:t xml:space="preserve">Pro občany je tak třídění odpadů stále dostupnější – podle průzkumů AOS EKO-KOM </w:t>
      </w:r>
      <w:r w:rsidR="00407F3F">
        <w:rPr>
          <w:rFonts w:ascii="Arial" w:hAnsi="Arial" w:cs="Arial"/>
        </w:rPr>
        <w:t>je průměrná docházková vzdálenost k nádobám na tříděný odpad 9</w:t>
      </w:r>
      <w:r w:rsidR="007B459D">
        <w:rPr>
          <w:rFonts w:ascii="Arial" w:hAnsi="Arial" w:cs="Arial"/>
        </w:rPr>
        <w:t>2</w:t>
      </w:r>
      <w:r w:rsidR="00407F3F">
        <w:rPr>
          <w:rFonts w:ascii="Arial" w:hAnsi="Arial" w:cs="Arial"/>
        </w:rPr>
        <w:t xml:space="preserve"> metrů</w:t>
      </w:r>
      <w:r w:rsidR="00E275B6">
        <w:rPr>
          <w:rFonts w:ascii="Arial" w:hAnsi="Arial" w:cs="Arial"/>
        </w:rPr>
        <w:t>.</w:t>
      </w:r>
      <w:r w:rsidR="00200B8C" w:rsidRPr="00AE0E56">
        <w:rPr>
          <w:rFonts w:ascii="Arial" w:hAnsi="Arial" w:cs="Arial"/>
        </w:rPr>
        <w:t xml:space="preserve"> </w:t>
      </w:r>
      <w:r w:rsidR="00F41304" w:rsidRPr="00AE0E56">
        <w:rPr>
          <w:rFonts w:ascii="Arial" w:hAnsi="Arial" w:cs="Arial"/>
        </w:rPr>
        <w:br/>
      </w:r>
      <w:r w:rsidR="00F41304" w:rsidRPr="00AE0E56">
        <w:rPr>
          <w:rFonts w:ascii="Arial" w:hAnsi="Arial" w:cs="Arial"/>
        </w:rPr>
        <w:br/>
      </w:r>
      <w:r w:rsidRPr="00AE0E56">
        <w:rPr>
          <w:rFonts w:ascii="Arial" w:hAnsi="Arial" w:cs="Arial"/>
        </w:rPr>
        <w:t xml:space="preserve">Zejména v některých menších obcích ČR je nádobový sběr ještě doplněn, nebo zcela nahrazen sběrem pytlovým. Pytle se nejčastěji využívají pro sběr plastů, papíru, nápojových kartonů, případně kovových obalů. V ČR mohou lidé třídit odpady také prostřednictvím sběrných dvorů, sběrných míst a výkupen surovin. </w:t>
      </w:r>
    </w:p>
    <w:p w14:paraId="729D0CBC" w14:textId="02B9CE03" w:rsidR="00EE1800" w:rsidRDefault="003F5B76" w:rsidP="008B264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6B1A37" w:rsidRPr="00AE0E56">
        <w:rPr>
          <w:rFonts w:ascii="Arial" w:hAnsi="Arial" w:cs="Arial"/>
          <w:b/>
        </w:rPr>
        <w:t xml:space="preserve">Odpady třídí </w:t>
      </w:r>
      <w:r w:rsidR="007760CB">
        <w:rPr>
          <w:rFonts w:ascii="Arial" w:hAnsi="Arial" w:cs="Arial"/>
          <w:b/>
        </w:rPr>
        <w:t>tři čtvrtiny</w:t>
      </w:r>
      <w:r w:rsidR="007760CB" w:rsidRPr="00AE0E56">
        <w:rPr>
          <w:rFonts w:ascii="Arial" w:hAnsi="Arial" w:cs="Arial"/>
          <w:b/>
        </w:rPr>
        <w:t xml:space="preserve"> </w:t>
      </w:r>
      <w:r w:rsidR="007760CB">
        <w:rPr>
          <w:rFonts w:ascii="Arial" w:hAnsi="Arial" w:cs="Arial"/>
          <w:b/>
        </w:rPr>
        <w:t>obyvatel ČR</w:t>
      </w:r>
      <w:r w:rsidR="006B1A37" w:rsidRPr="00AE0E56">
        <w:rPr>
          <w:rFonts w:ascii="Arial" w:hAnsi="Arial" w:cs="Arial"/>
          <w:b/>
        </w:rPr>
        <w:br/>
      </w:r>
      <w:r w:rsidR="00EE1800">
        <w:rPr>
          <w:rFonts w:ascii="Arial" w:hAnsi="Arial" w:cs="Arial"/>
        </w:rPr>
        <w:t xml:space="preserve">Díky tomu, že na výběr je hned několik způsobů sběru odpadů, lze pro jednotlivé lokality nastavit systém tak, aby byl pro občany </w:t>
      </w:r>
      <w:r w:rsidR="006B1A37" w:rsidRPr="00AE0E56">
        <w:rPr>
          <w:rFonts w:ascii="Arial" w:hAnsi="Arial" w:cs="Arial"/>
        </w:rPr>
        <w:t xml:space="preserve">co nejpohodlnější. </w:t>
      </w:r>
      <w:r w:rsidR="00EE1800">
        <w:rPr>
          <w:rFonts w:ascii="Arial" w:hAnsi="Arial" w:cs="Arial"/>
        </w:rPr>
        <w:t xml:space="preserve">Díky tomu má možnost třídit odpad 99 % obyvatel ČR a 75 % z nich tak pravidelně činí. </w:t>
      </w:r>
    </w:p>
    <w:p w14:paraId="18376636" w14:textId="77777777" w:rsidR="00222840" w:rsidRDefault="00222840" w:rsidP="008B264F">
      <w:pPr>
        <w:spacing w:line="240" w:lineRule="auto"/>
        <w:rPr>
          <w:rFonts w:ascii="Arial" w:hAnsi="Arial" w:cs="Arial"/>
        </w:rPr>
      </w:pPr>
    </w:p>
    <w:p w14:paraId="0D0525B3" w14:textId="3C256C59" w:rsidR="00F41304" w:rsidRPr="00AE0E56" w:rsidRDefault="00EE1800" w:rsidP="006B1A3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Přesto ale existují místa, kde lidem ještě možnost třídit odpad chybí. Nejčastěji zmiňují sportovní nebo </w:t>
      </w:r>
      <w:r w:rsidR="003F5B76">
        <w:rPr>
          <w:rFonts w:ascii="Arial" w:hAnsi="Arial" w:cs="Arial"/>
        </w:rPr>
        <w:t>jiné volnočasové areály, ale také dálniční odpočív</w:t>
      </w:r>
      <w:r w:rsidR="007B459D">
        <w:rPr>
          <w:rFonts w:ascii="Arial" w:hAnsi="Arial" w:cs="Arial"/>
        </w:rPr>
        <w:t>ky</w:t>
      </w:r>
      <w:r w:rsidR="003F5B76">
        <w:rPr>
          <w:rFonts w:ascii="Arial" w:hAnsi="Arial" w:cs="Arial"/>
        </w:rPr>
        <w:t xml:space="preserve"> nebo kempy. </w:t>
      </w:r>
    </w:p>
    <w:p w14:paraId="313537FD" w14:textId="58BAA477" w:rsidR="00263963" w:rsidRDefault="00184EBA" w:rsidP="000A62D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Nejlépe loni třídili lidé v Libereckém kraji</w:t>
      </w:r>
      <w:r>
        <w:rPr>
          <w:rFonts w:ascii="Arial" w:hAnsi="Arial" w:cs="Arial"/>
          <w:b/>
        </w:rPr>
        <w:br/>
      </w:r>
      <w:r w:rsidR="00263963" w:rsidRPr="00AE0E56">
        <w:rPr>
          <w:rFonts w:ascii="Arial" w:hAnsi="Arial" w:cs="Arial"/>
        </w:rPr>
        <w:t xml:space="preserve">Pokud </w:t>
      </w:r>
      <w:r>
        <w:rPr>
          <w:rFonts w:ascii="Arial" w:hAnsi="Arial" w:cs="Arial"/>
        </w:rPr>
        <w:t xml:space="preserve">srovnáme z hlediska výtěžnosti jednotlivé kraje, </w:t>
      </w:r>
      <w:r w:rsidR="0026596B">
        <w:rPr>
          <w:rFonts w:ascii="Arial" w:hAnsi="Arial" w:cs="Arial"/>
        </w:rPr>
        <w:t>v roce 202</w:t>
      </w:r>
      <w:r w:rsidR="007B459D">
        <w:rPr>
          <w:rFonts w:ascii="Arial" w:hAnsi="Arial" w:cs="Arial"/>
        </w:rPr>
        <w:t xml:space="preserve">5 </w:t>
      </w:r>
      <w:r w:rsidR="0026596B">
        <w:rPr>
          <w:rFonts w:ascii="Arial" w:hAnsi="Arial" w:cs="Arial"/>
        </w:rPr>
        <w:t>nejlépe třídili obyvatelé Libereckého kraje. Každý obyvatel tam vytřídil 8</w:t>
      </w:r>
      <w:r w:rsidR="007B459D">
        <w:rPr>
          <w:rFonts w:ascii="Arial" w:hAnsi="Arial" w:cs="Arial"/>
        </w:rPr>
        <w:t>4</w:t>
      </w:r>
      <w:r w:rsidR="0026596B">
        <w:rPr>
          <w:rFonts w:ascii="Arial" w:hAnsi="Arial" w:cs="Arial"/>
        </w:rPr>
        <w:t>,</w:t>
      </w:r>
      <w:r w:rsidR="007B459D">
        <w:rPr>
          <w:rFonts w:ascii="Arial" w:hAnsi="Arial" w:cs="Arial"/>
        </w:rPr>
        <w:t>1</w:t>
      </w:r>
      <w:r w:rsidR="0026596B">
        <w:rPr>
          <w:rFonts w:ascii="Arial" w:hAnsi="Arial" w:cs="Arial"/>
        </w:rPr>
        <w:t xml:space="preserve"> kilogramu odpadu.</w:t>
      </w:r>
      <w:r w:rsidR="007B459D">
        <w:rPr>
          <w:rFonts w:ascii="Arial" w:hAnsi="Arial" w:cs="Arial"/>
        </w:rPr>
        <w:t xml:space="preserve"> </w:t>
      </w:r>
      <w:r w:rsidR="0026596B">
        <w:rPr>
          <w:rFonts w:ascii="Arial" w:hAnsi="Arial" w:cs="Arial"/>
        </w:rPr>
        <w:t xml:space="preserve">S druhým místem se </w:t>
      </w:r>
      <w:r w:rsidR="007B459D">
        <w:rPr>
          <w:rFonts w:ascii="Arial" w:hAnsi="Arial" w:cs="Arial"/>
        </w:rPr>
        <w:t>musel</w:t>
      </w:r>
      <w:r w:rsidR="0026596B">
        <w:rPr>
          <w:rFonts w:ascii="Arial" w:hAnsi="Arial" w:cs="Arial"/>
        </w:rPr>
        <w:t xml:space="preserve"> spokojit Olomoucký kraj a kraj Vysočina </w:t>
      </w:r>
      <w:r w:rsidR="007B459D">
        <w:rPr>
          <w:rFonts w:ascii="Arial" w:hAnsi="Arial" w:cs="Arial"/>
        </w:rPr>
        <w:t xml:space="preserve">skončil na třetím místě. </w:t>
      </w:r>
      <w:r w:rsidR="0026596B">
        <w:rPr>
          <w:rFonts w:ascii="Arial" w:hAnsi="Arial" w:cs="Arial"/>
        </w:rPr>
        <w:t>Na opačném konci žebříčku pak skončil Jihomoravský kraj (59,</w:t>
      </w:r>
      <w:r w:rsidR="007B459D">
        <w:rPr>
          <w:rFonts w:ascii="Arial" w:hAnsi="Arial" w:cs="Arial"/>
        </w:rPr>
        <w:t>7</w:t>
      </w:r>
      <w:r w:rsidR="0026596B">
        <w:rPr>
          <w:rFonts w:ascii="Arial" w:hAnsi="Arial" w:cs="Arial"/>
        </w:rPr>
        <w:t xml:space="preserve"> kg/ob.) a Hlavní město Praha </w:t>
      </w:r>
      <w:r w:rsidR="00994ACA">
        <w:rPr>
          <w:rFonts w:ascii="Arial" w:hAnsi="Arial" w:cs="Arial"/>
        </w:rPr>
        <w:t>(</w:t>
      </w:r>
      <w:r w:rsidR="007B459D">
        <w:rPr>
          <w:rFonts w:ascii="Arial" w:hAnsi="Arial" w:cs="Arial"/>
        </w:rPr>
        <w:t>62</w:t>
      </w:r>
      <w:r w:rsidR="0026596B">
        <w:rPr>
          <w:rFonts w:ascii="Arial" w:hAnsi="Arial" w:cs="Arial"/>
        </w:rPr>
        <w:t>,</w:t>
      </w:r>
      <w:r w:rsidR="007B459D">
        <w:rPr>
          <w:rFonts w:ascii="Arial" w:hAnsi="Arial" w:cs="Arial"/>
        </w:rPr>
        <w:t>2</w:t>
      </w:r>
      <w:r w:rsidR="0026596B">
        <w:rPr>
          <w:rFonts w:ascii="Arial" w:hAnsi="Arial" w:cs="Arial"/>
        </w:rPr>
        <w:t xml:space="preserve"> kg/ob.). </w:t>
      </w:r>
    </w:p>
    <w:p w14:paraId="51941D4E" w14:textId="65DC9AD0" w:rsidR="00A051A2" w:rsidRDefault="00A051A2" w:rsidP="000A62D2">
      <w:pPr>
        <w:spacing w:after="0" w:line="240" w:lineRule="auto"/>
        <w:rPr>
          <w:rFonts w:ascii="Arial" w:hAnsi="Arial" w:cs="Arial"/>
        </w:rPr>
      </w:pPr>
    </w:p>
    <w:p w14:paraId="41518E21" w14:textId="77777777" w:rsidR="007B459D" w:rsidRDefault="007B459D" w:rsidP="000A62D2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369654D" wp14:editId="11A38F87">
            <wp:extent cx="6038850" cy="2743200"/>
            <wp:effectExtent l="0" t="0" r="0" b="0"/>
            <wp:docPr id="903103900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8B3243E" w14:textId="77777777" w:rsidR="007B459D" w:rsidRDefault="007B459D" w:rsidP="000A62D2">
      <w:pPr>
        <w:spacing w:after="0" w:line="240" w:lineRule="auto"/>
        <w:rPr>
          <w:rFonts w:ascii="Arial" w:hAnsi="Arial" w:cs="Arial"/>
        </w:rPr>
      </w:pPr>
    </w:p>
    <w:p w14:paraId="5B2C03D7" w14:textId="1B3BDC9C" w:rsidR="00184EBA" w:rsidRDefault="00184EBA" w:rsidP="000A62D2">
      <w:pPr>
        <w:spacing w:after="0" w:line="240" w:lineRule="auto"/>
        <w:rPr>
          <w:rFonts w:ascii="Arial" w:hAnsi="Arial" w:cs="Arial"/>
        </w:rPr>
      </w:pPr>
    </w:p>
    <w:p w14:paraId="7C825969" w14:textId="77777777" w:rsidR="00DB2FA1" w:rsidRPr="00AE0E56" w:rsidRDefault="00DB2FA1" w:rsidP="000A62D2">
      <w:pPr>
        <w:spacing w:after="0" w:line="240" w:lineRule="auto"/>
        <w:rPr>
          <w:rFonts w:ascii="Arial" w:hAnsi="Arial" w:cs="Arial"/>
        </w:rPr>
      </w:pPr>
    </w:p>
    <w:p w14:paraId="66C83618" w14:textId="611A0F8C" w:rsidR="00263963" w:rsidRPr="00AE0E56" w:rsidRDefault="00263963" w:rsidP="000A62D2">
      <w:pPr>
        <w:spacing w:after="0" w:line="240" w:lineRule="auto"/>
        <w:rPr>
          <w:rFonts w:ascii="Arial" w:hAnsi="Arial" w:cs="Arial"/>
        </w:rPr>
      </w:pPr>
    </w:p>
    <w:p w14:paraId="1F9B5443" w14:textId="3CD01E04" w:rsidR="002E20F6" w:rsidRPr="00AE0E56" w:rsidRDefault="00071021" w:rsidP="006A245D">
      <w:pPr>
        <w:spacing w:after="0" w:line="240" w:lineRule="auto"/>
        <w:rPr>
          <w:rFonts w:ascii="Arial" w:hAnsi="Arial" w:cs="Arial"/>
        </w:rPr>
      </w:pPr>
      <w:r w:rsidRPr="00AE0E56">
        <w:rPr>
          <w:rFonts w:ascii="Arial" w:hAnsi="Arial" w:cs="Arial"/>
          <w:b/>
        </w:rPr>
        <w:t>S</w:t>
      </w:r>
      <w:r w:rsidR="002E20F6" w:rsidRPr="00AE0E56">
        <w:rPr>
          <w:rFonts w:ascii="Arial" w:hAnsi="Arial" w:cs="Arial"/>
          <w:b/>
        </w:rPr>
        <w:t>ystém</w:t>
      </w:r>
      <w:r w:rsidR="000F5F22" w:rsidRPr="00AE0E56">
        <w:rPr>
          <w:rFonts w:ascii="Arial" w:hAnsi="Arial" w:cs="Arial"/>
          <w:b/>
        </w:rPr>
        <w:t>y</w:t>
      </w:r>
      <w:r w:rsidR="002E20F6" w:rsidRPr="00AE0E56">
        <w:rPr>
          <w:rFonts w:ascii="Arial" w:hAnsi="Arial" w:cs="Arial"/>
          <w:b/>
        </w:rPr>
        <w:t xml:space="preserve"> sběr</w:t>
      </w:r>
      <w:r w:rsidR="000F5F22" w:rsidRPr="00AE0E56">
        <w:rPr>
          <w:rFonts w:ascii="Arial" w:hAnsi="Arial" w:cs="Arial"/>
          <w:b/>
        </w:rPr>
        <w:t>u</w:t>
      </w:r>
      <w:r w:rsidR="002E20F6" w:rsidRPr="00AE0E56">
        <w:rPr>
          <w:rFonts w:ascii="Arial" w:hAnsi="Arial" w:cs="Arial"/>
          <w:b/>
        </w:rPr>
        <w:t xml:space="preserve"> </w:t>
      </w:r>
      <w:r w:rsidR="000F5F22" w:rsidRPr="00AE0E56">
        <w:rPr>
          <w:rFonts w:ascii="Arial" w:hAnsi="Arial" w:cs="Arial"/>
          <w:b/>
        </w:rPr>
        <w:t xml:space="preserve">tříděných </w:t>
      </w:r>
      <w:r w:rsidR="002E20F6" w:rsidRPr="00AE0E56">
        <w:rPr>
          <w:rFonts w:ascii="Arial" w:hAnsi="Arial" w:cs="Arial"/>
          <w:b/>
        </w:rPr>
        <w:t xml:space="preserve">odpadů </w:t>
      </w:r>
      <w:r w:rsidRPr="00AE0E56">
        <w:rPr>
          <w:rFonts w:ascii="Arial" w:hAnsi="Arial" w:cs="Arial"/>
          <w:b/>
        </w:rPr>
        <w:t>si nastavují přímo města a obce</w:t>
      </w:r>
    </w:p>
    <w:p w14:paraId="428ABB55" w14:textId="726D95D7" w:rsidR="0086635F" w:rsidRPr="00AE0E56" w:rsidRDefault="002D29ED" w:rsidP="00E275B6">
      <w:pPr>
        <w:spacing w:after="0" w:line="240" w:lineRule="auto"/>
        <w:rPr>
          <w:rFonts w:ascii="Arial" w:hAnsi="Arial" w:cs="Arial"/>
        </w:rPr>
      </w:pPr>
      <w:r w:rsidRPr="00AE0E56">
        <w:rPr>
          <w:rFonts w:ascii="Arial" w:hAnsi="Arial" w:cs="Arial"/>
        </w:rPr>
        <w:t>Obce a města ČR se intenzivně snaží zlepšovat systémy nakládání s</w:t>
      </w:r>
      <w:r w:rsidR="003B7330" w:rsidRPr="00AE0E56">
        <w:rPr>
          <w:rFonts w:ascii="Arial" w:hAnsi="Arial" w:cs="Arial"/>
        </w:rPr>
        <w:t> </w:t>
      </w:r>
      <w:r w:rsidRPr="00AE0E56">
        <w:rPr>
          <w:rFonts w:ascii="Arial" w:hAnsi="Arial" w:cs="Arial"/>
        </w:rPr>
        <w:t>odpady</w:t>
      </w:r>
      <w:r w:rsidR="003B7330" w:rsidRPr="00AE0E56">
        <w:rPr>
          <w:rFonts w:ascii="Arial" w:hAnsi="Arial" w:cs="Arial"/>
        </w:rPr>
        <w:t xml:space="preserve"> dlouhodobě</w:t>
      </w:r>
      <w:r w:rsidRPr="00AE0E56">
        <w:rPr>
          <w:rFonts w:ascii="Arial" w:hAnsi="Arial" w:cs="Arial"/>
        </w:rPr>
        <w:t xml:space="preserve">. </w:t>
      </w:r>
      <w:r w:rsidR="00E275B6">
        <w:rPr>
          <w:rFonts w:ascii="Arial" w:hAnsi="Arial" w:cs="Arial"/>
        </w:rPr>
        <w:t>Kromě papíru, plastů, skla, nápojových kartonů a kovů umožňují lidem třídit i</w:t>
      </w:r>
      <w:r w:rsidR="0086635F" w:rsidRPr="00AE0E56">
        <w:rPr>
          <w:rFonts w:ascii="Arial" w:hAnsi="Arial" w:cs="Arial"/>
        </w:rPr>
        <w:t xml:space="preserve"> </w:t>
      </w:r>
      <w:r w:rsidR="00473662" w:rsidRPr="00AE0E56">
        <w:rPr>
          <w:rFonts w:ascii="Arial" w:hAnsi="Arial" w:cs="Arial"/>
        </w:rPr>
        <w:t xml:space="preserve">další </w:t>
      </w:r>
      <w:r w:rsidR="0086635F" w:rsidRPr="00AE0E56">
        <w:rPr>
          <w:rFonts w:ascii="Arial" w:hAnsi="Arial" w:cs="Arial"/>
        </w:rPr>
        <w:t>komunální</w:t>
      </w:r>
      <w:r w:rsidR="00473662" w:rsidRPr="00AE0E56">
        <w:rPr>
          <w:rFonts w:ascii="Arial" w:hAnsi="Arial" w:cs="Arial"/>
        </w:rPr>
        <w:t xml:space="preserve"> odpady</w:t>
      </w:r>
      <w:r w:rsidR="00E275B6">
        <w:rPr>
          <w:rFonts w:ascii="Arial" w:hAnsi="Arial" w:cs="Arial"/>
        </w:rPr>
        <w:t xml:space="preserve">, </w:t>
      </w:r>
      <w:r w:rsidR="0026596B">
        <w:rPr>
          <w:rFonts w:ascii="Arial" w:hAnsi="Arial" w:cs="Arial"/>
        </w:rPr>
        <w:t>např.</w:t>
      </w:r>
      <w:r w:rsidR="0086635F" w:rsidRPr="00AE0E56">
        <w:rPr>
          <w:rFonts w:ascii="Arial" w:hAnsi="Arial" w:cs="Arial"/>
        </w:rPr>
        <w:t xml:space="preserve"> bioodpady, textil</w:t>
      </w:r>
      <w:r w:rsidR="009B4EE6" w:rsidRPr="00AE0E56">
        <w:rPr>
          <w:rFonts w:ascii="Arial" w:hAnsi="Arial" w:cs="Arial"/>
        </w:rPr>
        <w:t xml:space="preserve"> </w:t>
      </w:r>
      <w:r w:rsidR="0086635F" w:rsidRPr="00AE0E56">
        <w:rPr>
          <w:rFonts w:ascii="Arial" w:hAnsi="Arial" w:cs="Arial"/>
        </w:rPr>
        <w:t>a</w:t>
      </w:r>
      <w:r w:rsidR="00473662" w:rsidRPr="00AE0E56">
        <w:rPr>
          <w:rFonts w:ascii="Arial" w:hAnsi="Arial" w:cs="Arial"/>
        </w:rPr>
        <w:t xml:space="preserve"> jiné </w:t>
      </w:r>
      <w:r w:rsidR="0086635F" w:rsidRPr="00AE0E56">
        <w:rPr>
          <w:rFonts w:ascii="Arial" w:hAnsi="Arial" w:cs="Arial"/>
        </w:rPr>
        <w:t>složky</w:t>
      </w:r>
      <w:r w:rsidR="0043344E" w:rsidRPr="00AE0E56">
        <w:rPr>
          <w:rFonts w:ascii="Arial" w:hAnsi="Arial" w:cs="Arial"/>
        </w:rPr>
        <w:t>,</w:t>
      </w:r>
      <w:r w:rsidR="0086635F" w:rsidRPr="00AE0E56">
        <w:rPr>
          <w:rFonts w:ascii="Arial" w:hAnsi="Arial" w:cs="Arial"/>
        </w:rPr>
        <w:t xml:space="preserve"> jako </w:t>
      </w:r>
      <w:r w:rsidR="00C83A25" w:rsidRPr="00AE0E56">
        <w:rPr>
          <w:rFonts w:ascii="Arial" w:hAnsi="Arial" w:cs="Arial"/>
        </w:rPr>
        <w:t xml:space="preserve">jsou </w:t>
      </w:r>
      <w:r w:rsidR="0086635F" w:rsidRPr="00AE0E56">
        <w:rPr>
          <w:rFonts w:ascii="Arial" w:hAnsi="Arial" w:cs="Arial"/>
        </w:rPr>
        <w:t>třeba objemný odpad, oleje, stavební odpady, elektro</w:t>
      </w:r>
      <w:r w:rsidR="00310D2B" w:rsidRPr="00AE0E56">
        <w:rPr>
          <w:rFonts w:ascii="Arial" w:hAnsi="Arial" w:cs="Arial"/>
        </w:rPr>
        <w:t>zařízení</w:t>
      </w:r>
      <w:r w:rsidR="0086635F" w:rsidRPr="00AE0E56">
        <w:rPr>
          <w:rFonts w:ascii="Arial" w:hAnsi="Arial" w:cs="Arial"/>
        </w:rPr>
        <w:t>, bater</w:t>
      </w:r>
      <w:r w:rsidR="00310D2B" w:rsidRPr="00AE0E56">
        <w:rPr>
          <w:rFonts w:ascii="Arial" w:hAnsi="Arial" w:cs="Arial"/>
        </w:rPr>
        <w:t>ie</w:t>
      </w:r>
      <w:r w:rsidR="0086635F" w:rsidRPr="00AE0E56">
        <w:rPr>
          <w:rFonts w:ascii="Arial" w:hAnsi="Arial" w:cs="Arial"/>
        </w:rPr>
        <w:t xml:space="preserve"> </w:t>
      </w:r>
      <w:r w:rsidR="00E275B6">
        <w:rPr>
          <w:rFonts w:ascii="Arial" w:hAnsi="Arial" w:cs="Arial"/>
        </w:rPr>
        <w:t>nebo dřevo</w:t>
      </w:r>
      <w:r w:rsidR="0086635F" w:rsidRPr="00AE0E56">
        <w:rPr>
          <w:rFonts w:ascii="Arial" w:hAnsi="Arial" w:cs="Arial"/>
        </w:rPr>
        <w:t xml:space="preserve">. </w:t>
      </w:r>
    </w:p>
    <w:p w14:paraId="5F417FB9" w14:textId="77777777" w:rsidR="00C83A25" w:rsidRPr="00D95F26" w:rsidRDefault="00C83A25" w:rsidP="006A245D">
      <w:pPr>
        <w:spacing w:after="0" w:line="240" w:lineRule="auto"/>
        <w:rPr>
          <w:rFonts w:ascii="Arial" w:hAnsi="Arial" w:cs="Arial"/>
          <w:b/>
          <w:color w:val="111111"/>
          <w:sz w:val="24"/>
          <w:szCs w:val="24"/>
        </w:rPr>
      </w:pPr>
    </w:p>
    <w:p w14:paraId="66464B16" w14:textId="77777777" w:rsidR="00257717" w:rsidRPr="00DB2FA1" w:rsidRDefault="00257717" w:rsidP="006A245D">
      <w:pPr>
        <w:spacing w:after="0" w:line="240" w:lineRule="auto"/>
        <w:rPr>
          <w:rFonts w:ascii="Arial" w:hAnsi="Arial" w:cs="Arial"/>
          <w:b/>
          <w:color w:val="111111"/>
        </w:rPr>
      </w:pPr>
      <w:r w:rsidRPr="00DB2FA1">
        <w:rPr>
          <w:rFonts w:ascii="Arial" w:hAnsi="Arial" w:cs="Arial"/>
          <w:b/>
          <w:color w:val="111111"/>
        </w:rPr>
        <w:t xml:space="preserve">Pro další informace kontaktujte: </w:t>
      </w:r>
    </w:p>
    <w:p w14:paraId="31BB880C" w14:textId="77777777" w:rsidR="00C83A25" w:rsidRPr="00D95F26" w:rsidRDefault="00C83A25" w:rsidP="006A245D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5F1446" w14:textId="77777777" w:rsidR="00257717" w:rsidRPr="008B264F" w:rsidRDefault="00BC2318" w:rsidP="006A245D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111111"/>
        </w:rPr>
      </w:pPr>
      <w:r w:rsidRPr="008B264F">
        <w:rPr>
          <w:rFonts w:ascii="Arial" w:hAnsi="Arial" w:cs="Arial"/>
          <w:color w:val="111111"/>
        </w:rPr>
        <w:t>Alexandra Kocková</w:t>
      </w:r>
      <w:r w:rsidR="00257717" w:rsidRPr="008B264F">
        <w:rPr>
          <w:rFonts w:ascii="Arial" w:hAnsi="Arial" w:cs="Arial"/>
          <w:color w:val="111111"/>
        </w:rPr>
        <w:t xml:space="preserve">, mediální zastoupení, Svaz měst a obcí ČR, mobil: </w:t>
      </w:r>
      <w:r w:rsidRPr="008B264F">
        <w:rPr>
          <w:rFonts w:ascii="Arial" w:hAnsi="Arial" w:cs="Arial"/>
          <w:color w:val="111111"/>
        </w:rPr>
        <w:t>725</w:t>
      </w:r>
      <w:r w:rsidR="00A84107" w:rsidRPr="008B264F">
        <w:rPr>
          <w:rFonts w:ascii="Arial" w:hAnsi="Arial" w:cs="Arial"/>
          <w:color w:val="111111"/>
        </w:rPr>
        <w:t> </w:t>
      </w:r>
      <w:r w:rsidRPr="008B264F">
        <w:rPr>
          <w:rFonts w:ascii="Arial" w:hAnsi="Arial" w:cs="Arial"/>
          <w:color w:val="111111"/>
        </w:rPr>
        <w:t>607</w:t>
      </w:r>
      <w:r w:rsidR="00A84107" w:rsidRPr="008B264F">
        <w:rPr>
          <w:rFonts w:ascii="Arial" w:hAnsi="Arial" w:cs="Arial"/>
          <w:color w:val="111111"/>
        </w:rPr>
        <w:t xml:space="preserve"> </w:t>
      </w:r>
      <w:r w:rsidRPr="008B264F">
        <w:rPr>
          <w:rFonts w:ascii="Arial" w:hAnsi="Arial" w:cs="Arial"/>
          <w:color w:val="111111"/>
        </w:rPr>
        <w:t>753</w:t>
      </w:r>
      <w:r w:rsidR="00257717" w:rsidRPr="008B264F">
        <w:rPr>
          <w:rFonts w:ascii="Arial" w:hAnsi="Arial" w:cs="Arial"/>
          <w:color w:val="111111"/>
        </w:rPr>
        <w:t>, e</w:t>
      </w:r>
      <w:r w:rsidR="00257717" w:rsidRPr="008B264F">
        <w:rPr>
          <w:rFonts w:ascii="Arial" w:hAnsi="Arial" w:cs="Arial"/>
          <w:color w:val="111111"/>
        </w:rPr>
        <w:noBreakHyphen/>
        <w:t>mail: </w:t>
      </w:r>
      <w:hyperlink r:id="rId9" w:history="1">
        <w:r w:rsidRPr="008B264F">
          <w:rPr>
            <w:rStyle w:val="Hypertextovodkaz"/>
            <w:rFonts w:ascii="Arial" w:hAnsi="Arial" w:cs="Arial"/>
          </w:rPr>
          <w:t>kockova@smocr.cz</w:t>
        </w:r>
      </w:hyperlink>
    </w:p>
    <w:p w14:paraId="149961BA" w14:textId="77777777" w:rsidR="00257717" w:rsidRPr="00DB2FA1" w:rsidRDefault="00257717" w:rsidP="006A245D">
      <w:pPr>
        <w:spacing w:after="0" w:line="240" w:lineRule="auto"/>
        <w:ind w:left="360"/>
        <w:rPr>
          <w:rFonts w:ascii="Arial" w:hAnsi="Arial" w:cs="Arial"/>
          <w:b/>
          <w:i/>
          <w:color w:val="111111"/>
        </w:rPr>
      </w:pPr>
      <w:r w:rsidRPr="00DB2FA1">
        <w:rPr>
          <w:rFonts w:ascii="Arial" w:hAnsi="Arial" w:cs="Arial"/>
        </w:rPr>
        <w:br/>
      </w:r>
    </w:p>
    <w:p w14:paraId="5B46DB10" w14:textId="77777777" w:rsidR="00257717" w:rsidRPr="00DB2FA1" w:rsidRDefault="00257717" w:rsidP="006A245D">
      <w:pPr>
        <w:spacing w:after="0" w:line="240" w:lineRule="auto"/>
        <w:rPr>
          <w:rFonts w:ascii="Arial" w:hAnsi="Arial" w:cs="Arial"/>
          <w:color w:val="000000"/>
        </w:rPr>
      </w:pPr>
      <w:r w:rsidRPr="00DB2FA1">
        <w:rPr>
          <w:rFonts w:ascii="Arial" w:hAnsi="Arial" w:cs="Arial"/>
          <w:b/>
          <w:i/>
          <w:color w:val="111111"/>
        </w:rPr>
        <w:t>O Svazu měst a obcí ČR:</w:t>
      </w:r>
    </w:p>
    <w:p w14:paraId="1E3FB614" w14:textId="50E5E5D1" w:rsidR="006A55A1" w:rsidRPr="00D95F26" w:rsidRDefault="003A2995" w:rsidP="006A245D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B2FA1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</w:t>
      </w:r>
      <w:r w:rsidRPr="008B264F">
        <w:rPr>
          <w:rFonts w:ascii="Arial" w:hAnsi="Arial" w:cs="Arial"/>
          <w:i/>
          <w:iCs/>
          <w:color w:val="111111"/>
          <w:sz w:val="20"/>
          <w:szCs w:val="20"/>
        </w:rPr>
        <w:t xml:space="preserve">2 </w:t>
      </w:r>
      <w:r w:rsidR="008B264F" w:rsidRPr="008B264F">
        <w:rPr>
          <w:rFonts w:ascii="Arial" w:hAnsi="Arial" w:cs="Arial"/>
          <w:i/>
          <w:iCs/>
          <w:color w:val="111111"/>
          <w:sz w:val="20"/>
          <w:szCs w:val="20"/>
        </w:rPr>
        <w:t>8</w:t>
      </w:r>
      <w:r w:rsidRPr="008B264F">
        <w:rPr>
          <w:rFonts w:ascii="Arial" w:hAnsi="Arial" w:cs="Arial"/>
          <w:i/>
          <w:iCs/>
          <w:color w:val="111111"/>
          <w:sz w:val="20"/>
          <w:szCs w:val="20"/>
        </w:rPr>
        <w:t>00 měst</w:t>
      </w:r>
      <w:r w:rsidRPr="00DB2FA1">
        <w:rPr>
          <w:rFonts w:ascii="Arial" w:hAnsi="Arial" w:cs="Arial"/>
          <w:i/>
          <w:iCs/>
          <w:color w:val="111111"/>
          <w:sz w:val="20"/>
          <w:szCs w:val="20"/>
        </w:rPr>
        <w:t xml:space="preserve"> a obcí a svými členy tak čítá více než </w:t>
      </w:r>
      <w:r w:rsidRPr="008B264F">
        <w:rPr>
          <w:rFonts w:ascii="Arial" w:hAnsi="Arial" w:cs="Arial"/>
          <w:i/>
          <w:iCs/>
          <w:color w:val="111111"/>
          <w:sz w:val="20"/>
          <w:szCs w:val="20"/>
        </w:rPr>
        <w:t>8 milionů obyvatel</w:t>
      </w:r>
      <w:r w:rsidRPr="00DB2FA1">
        <w:rPr>
          <w:rFonts w:ascii="Arial" w:hAnsi="Arial" w:cs="Arial"/>
          <w:i/>
          <w:iCs/>
          <w:color w:val="111111"/>
          <w:sz w:val="20"/>
          <w:szCs w:val="20"/>
        </w:rPr>
        <w:t xml:space="preserve"> České republiky. Více na </w:t>
      </w:r>
      <w:hyperlink r:id="rId10" w:history="1">
        <w:r w:rsidRPr="00DB2FA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 w:rsidRPr="00DB2FA1">
        <w:rPr>
          <w:rFonts w:ascii="Arial" w:hAnsi="Arial" w:cs="Arial"/>
          <w:i/>
          <w:color w:val="000000"/>
          <w:sz w:val="20"/>
          <w:szCs w:val="20"/>
        </w:rPr>
        <w:t xml:space="preserve"> a na </w:t>
      </w:r>
      <w:hyperlink r:id="rId11" w:history="1">
        <w:proofErr w:type="spellStart"/>
        <w:r w:rsidRPr="00DB2FA1">
          <w:rPr>
            <w:rStyle w:val="Hypertextovodkaz"/>
            <w:rFonts w:ascii="Arial" w:hAnsi="Arial" w:cs="Arial"/>
            <w:i/>
            <w:sz w:val="20"/>
            <w:szCs w:val="20"/>
          </w:rPr>
          <w:t>facebooku</w:t>
        </w:r>
        <w:proofErr w:type="spellEnd"/>
      </w:hyperlink>
      <w:r w:rsidRPr="00DB2FA1">
        <w:rPr>
          <w:rFonts w:ascii="Arial" w:hAnsi="Arial" w:cs="Arial"/>
          <w:i/>
          <w:color w:val="000000"/>
          <w:sz w:val="20"/>
          <w:szCs w:val="20"/>
        </w:rPr>
        <w:t>.</w:t>
      </w:r>
    </w:p>
    <w:sectPr w:rsidR="006A55A1" w:rsidRPr="00D95F26" w:rsidSect="00376FF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577CC" w14:textId="77777777" w:rsidR="00092C0A" w:rsidRDefault="00092C0A" w:rsidP="008B264F">
      <w:pPr>
        <w:spacing w:after="0" w:line="240" w:lineRule="auto"/>
      </w:pPr>
      <w:r>
        <w:separator/>
      </w:r>
    </w:p>
  </w:endnote>
  <w:endnote w:type="continuationSeparator" w:id="0">
    <w:p w14:paraId="4F54AF5D" w14:textId="77777777" w:rsidR="00092C0A" w:rsidRDefault="00092C0A" w:rsidP="008B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7E8F5" w14:textId="77777777" w:rsidR="00092C0A" w:rsidRDefault="00092C0A" w:rsidP="008B264F">
      <w:pPr>
        <w:spacing w:after="0" w:line="240" w:lineRule="auto"/>
      </w:pPr>
      <w:r>
        <w:separator/>
      </w:r>
    </w:p>
  </w:footnote>
  <w:footnote w:type="continuationSeparator" w:id="0">
    <w:p w14:paraId="1A58925C" w14:textId="77777777" w:rsidR="00092C0A" w:rsidRDefault="00092C0A" w:rsidP="008B2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2B5D8" w14:textId="7F5C9079" w:rsidR="008B264F" w:rsidRDefault="008B264F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1F6EDD" wp14:editId="6ED9B2F6">
          <wp:simplePos x="0" y="0"/>
          <wp:positionH relativeFrom="margin">
            <wp:align>center</wp:align>
          </wp:positionH>
          <wp:positionV relativeFrom="paragraph">
            <wp:posOffset>-83820</wp:posOffset>
          </wp:positionV>
          <wp:extent cx="762002" cy="609601"/>
          <wp:effectExtent l="0" t="0" r="0" b="0"/>
          <wp:wrapTight wrapText="bothSides">
            <wp:wrapPolygon edited="0">
              <wp:start x="0" y="0"/>
              <wp:lineTo x="0" y="20925"/>
              <wp:lineTo x="21060" y="20925"/>
              <wp:lineTo x="21060" y="0"/>
              <wp:lineTo x="0" y="0"/>
            </wp:wrapPolygon>
          </wp:wrapTight>
          <wp:docPr id="206336045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360453" name="Obrázek 2063360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2" cy="609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D4372"/>
    <w:multiLevelType w:val="hybridMultilevel"/>
    <w:tmpl w:val="7DE66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05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17"/>
    <w:rsid w:val="00014D88"/>
    <w:rsid w:val="00025789"/>
    <w:rsid w:val="00032414"/>
    <w:rsid w:val="00052238"/>
    <w:rsid w:val="000561DB"/>
    <w:rsid w:val="00071021"/>
    <w:rsid w:val="00087098"/>
    <w:rsid w:val="000874E1"/>
    <w:rsid w:val="00092C0A"/>
    <w:rsid w:val="000A5B63"/>
    <w:rsid w:val="000A62D2"/>
    <w:rsid w:val="000F3462"/>
    <w:rsid w:val="000F5F22"/>
    <w:rsid w:val="00100736"/>
    <w:rsid w:val="0010440B"/>
    <w:rsid w:val="00112C57"/>
    <w:rsid w:val="0011694E"/>
    <w:rsid w:val="001741BC"/>
    <w:rsid w:val="00184EBA"/>
    <w:rsid w:val="00190085"/>
    <w:rsid w:val="00195938"/>
    <w:rsid w:val="001B15D6"/>
    <w:rsid w:val="001C55AA"/>
    <w:rsid w:val="001D7836"/>
    <w:rsid w:val="001E47DD"/>
    <w:rsid w:val="00200B8C"/>
    <w:rsid w:val="00202857"/>
    <w:rsid w:val="00222840"/>
    <w:rsid w:val="00230385"/>
    <w:rsid w:val="0023547A"/>
    <w:rsid w:val="00243CDF"/>
    <w:rsid w:val="00247DD9"/>
    <w:rsid w:val="00255A21"/>
    <w:rsid w:val="00257717"/>
    <w:rsid w:val="00263963"/>
    <w:rsid w:val="0026596B"/>
    <w:rsid w:val="00266B28"/>
    <w:rsid w:val="0027051F"/>
    <w:rsid w:val="002A1D8D"/>
    <w:rsid w:val="002A3079"/>
    <w:rsid w:val="002A31E0"/>
    <w:rsid w:val="002A38E3"/>
    <w:rsid w:val="002D1963"/>
    <w:rsid w:val="002D2305"/>
    <w:rsid w:val="002D29ED"/>
    <w:rsid w:val="002E20F6"/>
    <w:rsid w:val="002F65F1"/>
    <w:rsid w:val="00310D2B"/>
    <w:rsid w:val="003115BB"/>
    <w:rsid w:val="003227B3"/>
    <w:rsid w:val="00336D6D"/>
    <w:rsid w:val="0034226B"/>
    <w:rsid w:val="00342B23"/>
    <w:rsid w:val="00360EA2"/>
    <w:rsid w:val="00367BD1"/>
    <w:rsid w:val="00376189"/>
    <w:rsid w:val="00376C8E"/>
    <w:rsid w:val="00376FFE"/>
    <w:rsid w:val="00380BDA"/>
    <w:rsid w:val="00391295"/>
    <w:rsid w:val="003A2995"/>
    <w:rsid w:val="003B7330"/>
    <w:rsid w:val="003B7405"/>
    <w:rsid w:val="003D6660"/>
    <w:rsid w:val="003F5B76"/>
    <w:rsid w:val="003F705E"/>
    <w:rsid w:val="00407F3F"/>
    <w:rsid w:val="00416C58"/>
    <w:rsid w:val="00424D1C"/>
    <w:rsid w:val="0043344E"/>
    <w:rsid w:val="00455600"/>
    <w:rsid w:val="00472E4C"/>
    <w:rsid w:val="00473662"/>
    <w:rsid w:val="00480D98"/>
    <w:rsid w:val="00481D95"/>
    <w:rsid w:val="0048282B"/>
    <w:rsid w:val="004B1233"/>
    <w:rsid w:val="004D2607"/>
    <w:rsid w:val="004D3263"/>
    <w:rsid w:val="004E27F1"/>
    <w:rsid w:val="004F1E05"/>
    <w:rsid w:val="00510C01"/>
    <w:rsid w:val="00524B02"/>
    <w:rsid w:val="0054234C"/>
    <w:rsid w:val="005428C5"/>
    <w:rsid w:val="00574069"/>
    <w:rsid w:val="00576822"/>
    <w:rsid w:val="005D65BC"/>
    <w:rsid w:val="005D71CD"/>
    <w:rsid w:val="005E0179"/>
    <w:rsid w:val="005E1493"/>
    <w:rsid w:val="005F5CFE"/>
    <w:rsid w:val="006471B8"/>
    <w:rsid w:val="00656E6B"/>
    <w:rsid w:val="00663318"/>
    <w:rsid w:val="00670ED0"/>
    <w:rsid w:val="00684157"/>
    <w:rsid w:val="00692808"/>
    <w:rsid w:val="006A245D"/>
    <w:rsid w:val="006A55A1"/>
    <w:rsid w:val="006A7E26"/>
    <w:rsid w:val="006B1A37"/>
    <w:rsid w:val="006D0C87"/>
    <w:rsid w:val="006D2E63"/>
    <w:rsid w:val="006E0D79"/>
    <w:rsid w:val="006E567F"/>
    <w:rsid w:val="006F78EF"/>
    <w:rsid w:val="0071056A"/>
    <w:rsid w:val="007210CB"/>
    <w:rsid w:val="0073364E"/>
    <w:rsid w:val="00734A9C"/>
    <w:rsid w:val="00757A69"/>
    <w:rsid w:val="007716D6"/>
    <w:rsid w:val="007760CB"/>
    <w:rsid w:val="00784B62"/>
    <w:rsid w:val="00784BD2"/>
    <w:rsid w:val="00793DCB"/>
    <w:rsid w:val="00794E7C"/>
    <w:rsid w:val="007B459D"/>
    <w:rsid w:val="007B4953"/>
    <w:rsid w:val="007C2F91"/>
    <w:rsid w:val="007C443E"/>
    <w:rsid w:val="007C568A"/>
    <w:rsid w:val="007C7D69"/>
    <w:rsid w:val="007D3994"/>
    <w:rsid w:val="007E3DFF"/>
    <w:rsid w:val="007F1ED6"/>
    <w:rsid w:val="00804EB0"/>
    <w:rsid w:val="008101AF"/>
    <w:rsid w:val="00810E56"/>
    <w:rsid w:val="00825668"/>
    <w:rsid w:val="0083483A"/>
    <w:rsid w:val="008468F9"/>
    <w:rsid w:val="00856B63"/>
    <w:rsid w:val="008624DD"/>
    <w:rsid w:val="00863D0C"/>
    <w:rsid w:val="008655F2"/>
    <w:rsid w:val="0086635F"/>
    <w:rsid w:val="00872AD5"/>
    <w:rsid w:val="00872D0D"/>
    <w:rsid w:val="008760CC"/>
    <w:rsid w:val="00887272"/>
    <w:rsid w:val="008934BE"/>
    <w:rsid w:val="008A3788"/>
    <w:rsid w:val="008A5AEA"/>
    <w:rsid w:val="008B264F"/>
    <w:rsid w:val="008B4351"/>
    <w:rsid w:val="008E2141"/>
    <w:rsid w:val="008F137D"/>
    <w:rsid w:val="009144C1"/>
    <w:rsid w:val="00916181"/>
    <w:rsid w:val="009355A7"/>
    <w:rsid w:val="00944770"/>
    <w:rsid w:val="00950A36"/>
    <w:rsid w:val="009673D6"/>
    <w:rsid w:val="00970B00"/>
    <w:rsid w:val="00975C14"/>
    <w:rsid w:val="009768DD"/>
    <w:rsid w:val="0098600F"/>
    <w:rsid w:val="00994ACA"/>
    <w:rsid w:val="009A6678"/>
    <w:rsid w:val="009A67DD"/>
    <w:rsid w:val="009B1D2A"/>
    <w:rsid w:val="009B4EE6"/>
    <w:rsid w:val="009C0B11"/>
    <w:rsid w:val="009C15A4"/>
    <w:rsid w:val="009D54D3"/>
    <w:rsid w:val="009D60D8"/>
    <w:rsid w:val="009F7A7B"/>
    <w:rsid w:val="00A028E4"/>
    <w:rsid w:val="00A0411C"/>
    <w:rsid w:val="00A051A2"/>
    <w:rsid w:val="00A21A17"/>
    <w:rsid w:val="00A646AB"/>
    <w:rsid w:val="00A7250B"/>
    <w:rsid w:val="00A84107"/>
    <w:rsid w:val="00A84259"/>
    <w:rsid w:val="00A92431"/>
    <w:rsid w:val="00A93263"/>
    <w:rsid w:val="00A94AC6"/>
    <w:rsid w:val="00AA366F"/>
    <w:rsid w:val="00AE0E56"/>
    <w:rsid w:val="00B15FF8"/>
    <w:rsid w:val="00B3054F"/>
    <w:rsid w:val="00B44889"/>
    <w:rsid w:val="00B61446"/>
    <w:rsid w:val="00B772BC"/>
    <w:rsid w:val="00BB4A4A"/>
    <w:rsid w:val="00BC2318"/>
    <w:rsid w:val="00BD0936"/>
    <w:rsid w:val="00BE4658"/>
    <w:rsid w:val="00BE5139"/>
    <w:rsid w:val="00C02124"/>
    <w:rsid w:val="00C50AE4"/>
    <w:rsid w:val="00C540A6"/>
    <w:rsid w:val="00C64983"/>
    <w:rsid w:val="00C83A25"/>
    <w:rsid w:val="00C93A48"/>
    <w:rsid w:val="00CA70A2"/>
    <w:rsid w:val="00CB1F46"/>
    <w:rsid w:val="00CC2B9F"/>
    <w:rsid w:val="00CC758F"/>
    <w:rsid w:val="00CD346A"/>
    <w:rsid w:val="00CE2562"/>
    <w:rsid w:val="00D0065C"/>
    <w:rsid w:val="00D23485"/>
    <w:rsid w:val="00D23C36"/>
    <w:rsid w:val="00D3198B"/>
    <w:rsid w:val="00D37054"/>
    <w:rsid w:val="00D41EB6"/>
    <w:rsid w:val="00D7758F"/>
    <w:rsid w:val="00D803C4"/>
    <w:rsid w:val="00D957D1"/>
    <w:rsid w:val="00D95836"/>
    <w:rsid w:val="00D95F26"/>
    <w:rsid w:val="00DB2FA1"/>
    <w:rsid w:val="00DE4F48"/>
    <w:rsid w:val="00DF346A"/>
    <w:rsid w:val="00E11285"/>
    <w:rsid w:val="00E22E04"/>
    <w:rsid w:val="00E25C4B"/>
    <w:rsid w:val="00E27525"/>
    <w:rsid w:val="00E275B6"/>
    <w:rsid w:val="00E35639"/>
    <w:rsid w:val="00E546FB"/>
    <w:rsid w:val="00E8190F"/>
    <w:rsid w:val="00E87D60"/>
    <w:rsid w:val="00E9696E"/>
    <w:rsid w:val="00EA24DF"/>
    <w:rsid w:val="00EA3EA2"/>
    <w:rsid w:val="00EC7FFE"/>
    <w:rsid w:val="00ED65E7"/>
    <w:rsid w:val="00ED748B"/>
    <w:rsid w:val="00ED7528"/>
    <w:rsid w:val="00EE1800"/>
    <w:rsid w:val="00F05F9A"/>
    <w:rsid w:val="00F25B18"/>
    <w:rsid w:val="00F25D13"/>
    <w:rsid w:val="00F30973"/>
    <w:rsid w:val="00F34BE2"/>
    <w:rsid w:val="00F34EE9"/>
    <w:rsid w:val="00F41304"/>
    <w:rsid w:val="00F6222C"/>
    <w:rsid w:val="00F6676E"/>
    <w:rsid w:val="00F71D11"/>
    <w:rsid w:val="00F926A4"/>
    <w:rsid w:val="00FC02B4"/>
    <w:rsid w:val="00FE53CF"/>
    <w:rsid w:val="00FF1E7A"/>
    <w:rsid w:val="00F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078FE"/>
  <w15:docId w15:val="{45C2BD0B-A89F-40DD-BD6C-9703EA3D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77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5771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7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717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3A299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78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D78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D783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78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7836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957D1"/>
    <w:pPr>
      <w:spacing w:after="0" w:line="240" w:lineRule="auto"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416C58"/>
    <w:pPr>
      <w:spacing w:after="0" w:line="240" w:lineRule="auto"/>
    </w:pPr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B2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264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B2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264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smocr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ckova@smocr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EServer\PR\Lucka\V&#253;sledky\2025\TU_vysledky_systemu_2025_akt260428_v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cs-CZ" sz="1200">
                <a:solidFill>
                  <a:sysClr val="windowText" lastClr="000000"/>
                </a:solidFill>
              </a:rPr>
              <a:t>Výtěžnost tříděného sběru dle krajů za rok 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1742226678838295"/>
          <c:y val="0.14796952409548117"/>
          <c:w val="0.72218303283412633"/>
          <c:h val="0.5410345504204889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pomocne!$C$24</c:f>
              <c:strCache>
                <c:ptCount val="1"/>
                <c:pt idx="0">
                  <c:v>Papír</c:v>
                </c:pt>
              </c:strCache>
            </c:strRef>
          </c:tx>
          <c:spPr>
            <a:solidFill>
              <a:srgbClr val="00A3E0"/>
            </a:solidFill>
            <a:ln>
              <a:noFill/>
            </a:ln>
            <a:effectLst/>
          </c:spPr>
          <c:invertIfNegative val="0"/>
          <c:cat>
            <c:strRef>
              <c:f>pomocne!$B$25:$B$39</c:f>
              <c:strCache>
                <c:ptCount val="15"/>
                <c:pt idx="0">
                  <c:v>Liberecký kraj</c:v>
                </c:pt>
                <c:pt idx="1">
                  <c:v>Olomoucký kraj</c:v>
                </c:pt>
                <c:pt idx="2">
                  <c:v>Vysočina</c:v>
                </c:pt>
                <c:pt idx="3">
                  <c:v>Královéhradecký kraj</c:v>
                </c:pt>
                <c:pt idx="4">
                  <c:v>Karlovarský kraj</c:v>
                </c:pt>
                <c:pt idx="5">
                  <c:v>Pardubický kraj</c:v>
                </c:pt>
                <c:pt idx="6">
                  <c:v>Zlínský kraj</c:v>
                </c:pt>
                <c:pt idx="7">
                  <c:v>Ústecký kraj</c:v>
                </c:pt>
                <c:pt idx="8">
                  <c:v>Moravskoslezský kraj</c:v>
                </c:pt>
                <c:pt idx="9">
                  <c:v>Středočeský kraj</c:v>
                </c:pt>
                <c:pt idx="10">
                  <c:v>Plzeňský kraj</c:v>
                </c:pt>
                <c:pt idx="11">
                  <c:v>Jihočeský kraj</c:v>
                </c:pt>
                <c:pt idx="12">
                  <c:v>Hlavní město Praha</c:v>
                </c:pt>
                <c:pt idx="13">
                  <c:v>Jihomoravský kraj</c:v>
                </c:pt>
                <c:pt idx="14">
                  <c:v>Celkem ČR</c:v>
                </c:pt>
              </c:strCache>
            </c:strRef>
          </c:cat>
          <c:val>
            <c:numRef>
              <c:f>pomocne!$C$25:$C$39</c:f>
              <c:numCache>
                <c:formatCode>#\ ##0.0</c:formatCode>
                <c:ptCount val="15"/>
                <c:pt idx="0">
                  <c:v>22.332524271844662</c:v>
                </c:pt>
                <c:pt idx="1">
                  <c:v>23.745122174748452</c:v>
                </c:pt>
                <c:pt idx="2">
                  <c:v>22.874101727272901</c:v>
                </c:pt>
                <c:pt idx="3">
                  <c:v>23.231634861160835</c:v>
                </c:pt>
                <c:pt idx="4">
                  <c:v>22.263702276873826</c:v>
                </c:pt>
                <c:pt idx="5">
                  <c:v>21.706720597386433</c:v>
                </c:pt>
                <c:pt idx="6">
                  <c:v>21.564498298734037</c:v>
                </c:pt>
                <c:pt idx="7">
                  <c:v>20.267353734962928</c:v>
                </c:pt>
                <c:pt idx="8">
                  <c:v>20.776556419251868</c:v>
                </c:pt>
                <c:pt idx="9">
                  <c:v>23.888645547003858</c:v>
                </c:pt>
                <c:pt idx="10">
                  <c:v>20.893880283817666</c:v>
                </c:pt>
                <c:pt idx="11">
                  <c:v>21.455197187592027</c:v>
                </c:pt>
                <c:pt idx="12">
                  <c:v>26.291730096509649</c:v>
                </c:pt>
                <c:pt idx="13">
                  <c:v>21.587559554197785</c:v>
                </c:pt>
                <c:pt idx="14" formatCode="0.0">
                  <c:v>22.583219613358825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88-4106-889C-FB7F0951E010}"/>
            </c:ext>
          </c:extLst>
        </c:ser>
        <c:ser>
          <c:idx val="1"/>
          <c:order val="1"/>
          <c:tx>
            <c:strRef>
              <c:f>pomocne!$D$24</c:f>
              <c:strCache>
                <c:ptCount val="1"/>
                <c:pt idx="0">
                  <c:v>Plast</c:v>
                </c:pt>
              </c:strCache>
            </c:strRef>
          </c:tx>
          <c:spPr>
            <a:solidFill>
              <a:srgbClr val="FFC72C"/>
            </a:solidFill>
            <a:ln>
              <a:noFill/>
            </a:ln>
            <a:effectLst/>
          </c:spPr>
          <c:invertIfNegative val="0"/>
          <c:cat>
            <c:strRef>
              <c:f>pomocne!$B$25:$B$39</c:f>
              <c:strCache>
                <c:ptCount val="15"/>
                <c:pt idx="0">
                  <c:v>Liberecký kraj</c:v>
                </c:pt>
                <c:pt idx="1">
                  <c:v>Olomoucký kraj</c:v>
                </c:pt>
                <c:pt idx="2">
                  <c:v>Vysočina</c:v>
                </c:pt>
                <c:pt idx="3">
                  <c:v>Královéhradecký kraj</c:v>
                </c:pt>
                <c:pt idx="4">
                  <c:v>Karlovarský kraj</c:v>
                </c:pt>
                <c:pt idx="5">
                  <c:v>Pardubický kraj</c:v>
                </c:pt>
                <c:pt idx="6">
                  <c:v>Zlínský kraj</c:v>
                </c:pt>
                <c:pt idx="7">
                  <c:v>Ústecký kraj</c:v>
                </c:pt>
                <c:pt idx="8">
                  <c:v>Moravskoslezský kraj</c:v>
                </c:pt>
                <c:pt idx="9">
                  <c:v>Středočeský kraj</c:v>
                </c:pt>
                <c:pt idx="10">
                  <c:v>Plzeňský kraj</c:v>
                </c:pt>
                <c:pt idx="11">
                  <c:v>Jihočeský kraj</c:v>
                </c:pt>
                <c:pt idx="12">
                  <c:v>Hlavní město Praha</c:v>
                </c:pt>
                <c:pt idx="13">
                  <c:v>Jihomoravský kraj</c:v>
                </c:pt>
                <c:pt idx="14">
                  <c:v>Celkem ČR</c:v>
                </c:pt>
              </c:strCache>
            </c:strRef>
          </c:cat>
          <c:val>
            <c:numRef>
              <c:f>pomocne!$D$25:$D$39</c:f>
              <c:numCache>
                <c:formatCode>#\ ##0.0</c:formatCode>
                <c:ptCount val="15"/>
                <c:pt idx="0">
                  <c:v>16.521558456541417</c:v>
                </c:pt>
                <c:pt idx="1">
                  <c:v>21.35930152449815</c:v>
                </c:pt>
                <c:pt idx="2">
                  <c:v>22.266460684687189</c:v>
                </c:pt>
                <c:pt idx="3">
                  <c:v>22.747889576224384</c:v>
                </c:pt>
                <c:pt idx="4">
                  <c:v>19.290859270613613</c:v>
                </c:pt>
                <c:pt idx="5">
                  <c:v>21.262672776300651</c:v>
                </c:pt>
                <c:pt idx="6">
                  <c:v>17.23283064482801</c:v>
                </c:pt>
                <c:pt idx="7">
                  <c:v>15.078346252337935</c:v>
                </c:pt>
                <c:pt idx="8">
                  <c:v>19.515855984339101</c:v>
                </c:pt>
                <c:pt idx="9">
                  <c:v>22.385292743265531</c:v>
                </c:pt>
                <c:pt idx="10">
                  <c:v>17.983140773884855</c:v>
                </c:pt>
                <c:pt idx="11">
                  <c:v>16.76933683861785</c:v>
                </c:pt>
                <c:pt idx="12">
                  <c:v>15.260192586002201</c:v>
                </c:pt>
                <c:pt idx="13">
                  <c:v>16.382501463879287</c:v>
                </c:pt>
                <c:pt idx="14" formatCode="0.0">
                  <c:v>18.660650294050225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88-4106-889C-FB7F0951E010}"/>
            </c:ext>
          </c:extLst>
        </c:ser>
        <c:ser>
          <c:idx val="2"/>
          <c:order val="2"/>
          <c:tx>
            <c:strRef>
              <c:f>pomocne!$E$24</c:f>
              <c:strCache>
                <c:ptCount val="1"/>
                <c:pt idx="0">
                  <c:v>Sklo</c:v>
                </c:pt>
              </c:strCache>
            </c:strRef>
          </c:tx>
          <c:spPr>
            <a:solidFill>
              <a:srgbClr val="78BE20"/>
            </a:solidFill>
            <a:ln>
              <a:noFill/>
            </a:ln>
            <a:effectLst/>
          </c:spPr>
          <c:invertIfNegative val="0"/>
          <c:cat>
            <c:strRef>
              <c:f>pomocne!$B$25:$B$39</c:f>
              <c:strCache>
                <c:ptCount val="15"/>
                <c:pt idx="0">
                  <c:v>Liberecký kraj</c:v>
                </c:pt>
                <c:pt idx="1">
                  <c:v>Olomoucký kraj</c:v>
                </c:pt>
                <c:pt idx="2">
                  <c:v>Vysočina</c:v>
                </c:pt>
                <c:pt idx="3">
                  <c:v>Královéhradecký kraj</c:v>
                </c:pt>
                <c:pt idx="4">
                  <c:v>Karlovarský kraj</c:v>
                </c:pt>
                <c:pt idx="5">
                  <c:v>Pardubický kraj</c:v>
                </c:pt>
                <c:pt idx="6">
                  <c:v>Zlínský kraj</c:v>
                </c:pt>
                <c:pt idx="7">
                  <c:v>Ústecký kraj</c:v>
                </c:pt>
                <c:pt idx="8">
                  <c:v>Moravskoslezský kraj</c:v>
                </c:pt>
                <c:pt idx="9">
                  <c:v>Středočeský kraj</c:v>
                </c:pt>
                <c:pt idx="10">
                  <c:v>Plzeňský kraj</c:v>
                </c:pt>
                <c:pt idx="11">
                  <c:v>Jihočeský kraj</c:v>
                </c:pt>
                <c:pt idx="12">
                  <c:v>Hlavní město Praha</c:v>
                </c:pt>
                <c:pt idx="13">
                  <c:v>Jihomoravský kraj</c:v>
                </c:pt>
                <c:pt idx="14">
                  <c:v>Celkem ČR</c:v>
                </c:pt>
              </c:strCache>
            </c:strRef>
          </c:cat>
          <c:val>
            <c:numRef>
              <c:f>pomocne!$E$25:$E$39</c:f>
              <c:numCache>
                <c:formatCode>#\ ##0.0</c:formatCode>
                <c:ptCount val="15"/>
                <c:pt idx="0">
                  <c:v>14.698339131360818</c:v>
                </c:pt>
                <c:pt idx="1">
                  <c:v>14.929898050766042</c:v>
                </c:pt>
                <c:pt idx="2">
                  <c:v>15.816440299041002</c:v>
                </c:pt>
                <c:pt idx="3">
                  <c:v>16.437726984104142</c:v>
                </c:pt>
                <c:pt idx="4">
                  <c:v>13.198346434796763</c:v>
                </c:pt>
                <c:pt idx="5">
                  <c:v>15.538036242952238</c:v>
                </c:pt>
                <c:pt idx="6">
                  <c:v>14.849084966870087</c:v>
                </c:pt>
                <c:pt idx="7">
                  <c:v>10.578463996725352</c:v>
                </c:pt>
                <c:pt idx="8">
                  <c:v>13.663336988439323</c:v>
                </c:pt>
                <c:pt idx="9">
                  <c:v>15.656955057724019</c:v>
                </c:pt>
                <c:pt idx="10">
                  <c:v>15.529125603194176</c:v>
                </c:pt>
                <c:pt idx="11">
                  <c:v>16.238892092863452</c:v>
                </c:pt>
                <c:pt idx="12">
                  <c:v>13.615089418024574</c:v>
                </c:pt>
                <c:pt idx="13">
                  <c:v>14.226910260529733</c:v>
                </c:pt>
                <c:pt idx="14" formatCode="0.0">
                  <c:v>14.518452194191184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F88-4106-889C-FB7F0951E010}"/>
            </c:ext>
          </c:extLst>
        </c:ser>
        <c:ser>
          <c:idx val="3"/>
          <c:order val="3"/>
          <c:tx>
            <c:strRef>
              <c:f>pomocne!$F$24</c:f>
              <c:strCache>
                <c:ptCount val="1"/>
                <c:pt idx="0">
                  <c:v>NK</c:v>
                </c:pt>
              </c:strCache>
            </c:strRef>
          </c:tx>
          <c:spPr>
            <a:solidFill>
              <a:srgbClr val="FF6900"/>
            </a:solidFill>
            <a:ln>
              <a:noFill/>
            </a:ln>
            <a:effectLst/>
          </c:spPr>
          <c:invertIfNegative val="0"/>
          <c:cat>
            <c:strRef>
              <c:f>pomocne!$B$25:$B$39</c:f>
              <c:strCache>
                <c:ptCount val="15"/>
                <c:pt idx="0">
                  <c:v>Liberecký kraj</c:v>
                </c:pt>
                <c:pt idx="1">
                  <c:v>Olomoucký kraj</c:v>
                </c:pt>
                <c:pt idx="2">
                  <c:v>Vysočina</c:v>
                </c:pt>
                <c:pt idx="3">
                  <c:v>Královéhradecký kraj</c:v>
                </c:pt>
                <c:pt idx="4">
                  <c:v>Karlovarský kraj</c:v>
                </c:pt>
                <c:pt idx="5">
                  <c:v>Pardubický kraj</c:v>
                </c:pt>
                <c:pt idx="6">
                  <c:v>Zlínský kraj</c:v>
                </c:pt>
                <c:pt idx="7">
                  <c:v>Ústecký kraj</c:v>
                </c:pt>
                <c:pt idx="8">
                  <c:v>Moravskoslezský kraj</c:v>
                </c:pt>
                <c:pt idx="9">
                  <c:v>Středočeský kraj</c:v>
                </c:pt>
                <c:pt idx="10">
                  <c:v>Plzeňský kraj</c:v>
                </c:pt>
                <c:pt idx="11">
                  <c:v>Jihočeský kraj</c:v>
                </c:pt>
                <c:pt idx="12">
                  <c:v>Hlavní město Praha</c:v>
                </c:pt>
                <c:pt idx="13">
                  <c:v>Jihomoravský kraj</c:v>
                </c:pt>
                <c:pt idx="14">
                  <c:v>Celkem ČR</c:v>
                </c:pt>
              </c:strCache>
            </c:strRef>
          </c:cat>
          <c:val>
            <c:numRef>
              <c:f>pomocne!$F$25:$F$39</c:f>
              <c:numCache>
                <c:formatCode>#\ ##0.0</c:formatCode>
                <c:ptCount val="15"/>
                <c:pt idx="0">
                  <c:v>0.46985543387586304</c:v>
                </c:pt>
                <c:pt idx="1">
                  <c:v>0.50901141477473832</c:v>
                </c:pt>
                <c:pt idx="2">
                  <c:v>0.62293124336983441</c:v>
                </c:pt>
                <c:pt idx="3">
                  <c:v>0.3810904590677619</c:v>
                </c:pt>
                <c:pt idx="4">
                  <c:v>0.62202334524786518</c:v>
                </c:pt>
                <c:pt idx="5">
                  <c:v>0.32057852953932597</c:v>
                </c:pt>
                <c:pt idx="6">
                  <c:v>0.3320568098852506</c:v>
                </c:pt>
                <c:pt idx="7">
                  <c:v>0.31078476942443334</c:v>
                </c:pt>
                <c:pt idx="8">
                  <c:v>0.35447828967948308</c:v>
                </c:pt>
                <c:pt idx="9">
                  <c:v>0.48782778999450249</c:v>
                </c:pt>
                <c:pt idx="10">
                  <c:v>0.28259453103949439</c:v>
                </c:pt>
                <c:pt idx="11">
                  <c:v>0.43314549180327877</c:v>
                </c:pt>
                <c:pt idx="12">
                  <c:v>0.19308790437427603</c:v>
                </c:pt>
                <c:pt idx="13">
                  <c:v>0.41052394645545492</c:v>
                </c:pt>
                <c:pt idx="14" formatCode="0.0">
                  <c:v>0.38775824745968196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F88-4106-889C-FB7F0951E010}"/>
            </c:ext>
          </c:extLst>
        </c:ser>
        <c:ser>
          <c:idx val="4"/>
          <c:order val="4"/>
          <c:tx>
            <c:strRef>
              <c:f>pomocne!$G$24</c:f>
              <c:strCache>
                <c:ptCount val="1"/>
                <c:pt idx="0">
                  <c:v>Kov</c:v>
                </c:pt>
              </c:strCache>
            </c:strRef>
          </c:tx>
          <c:spPr>
            <a:solidFill>
              <a:srgbClr val="B2B4B2"/>
            </a:solidFill>
            <a:ln>
              <a:noFill/>
            </a:ln>
            <a:effectLst/>
          </c:spPr>
          <c:invertIfNegative val="0"/>
          <c:cat>
            <c:strRef>
              <c:f>pomocne!$B$25:$B$39</c:f>
              <c:strCache>
                <c:ptCount val="15"/>
                <c:pt idx="0">
                  <c:v>Liberecký kraj</c:v>
                </c:pt>
                <c:pt idx="1">
                  <c:v>Olomoucký kraj</c:v>
                </c:pt>
                <c:pt idx="2">
                  <c:v>Vysočina</c:v>
                </c:pt>
                <c:pt idx="3">
                  <c:v>Královéhradecký kraj</c:v>
                </c:pt>
                <c:pt idx="4">
                  <c:v>Karlovarský kraj</c:v>
                </c:pt>
                <c:pt idx="5">
                  <c:v>Pardubický kraj</c:v>
                </c:pt>
                <c:pt idx="6">
                  <c:v>Zlínský kraj</c:v>
                </c:pt>
                <c:pt idx="7">
                  <c:v>Ústecký kraj</c:v>
                </c:pt>
                <c:pt idx="8">
                  <c:v>Moravskoslezský kraj</c:v>
                </c:pt>
                <c:pt idx="9">
                  <c:v>Středočeský kraj</c:v>
                </c:pt>
                <c:pt idx="10">
                  <c:v>Plzeňský kraj</c:v>
                </c:pt>
                <c:pt idx="11">
                  <c:v>Jihočeský kraj</c:v>
                </c:pt>
                <c:pt idx="12">
                  <c:v>Hlavní město Praha</c:v>
                </c:pt>
                <c:pt idx="13">
                  <c:v>Jihomoravský kraj</c:v>
                </c:pt>
                <c:pt idx="14">
                  <c:v>Celkem ČR</c:v>
                </c:pt>
              </c:strCache>
            </c:strRef>
          </c:cat>
          <c:val>
            <c:numRef>
              <c:f>pomocne!$G$25:$G$39</c:f>
              <c:numCache>
                <c:formatCode>#\ ##0.0</c:formatCode>
                <c:ptCount val="15"/>
                <c:pt idx="0">
                  <c:v>30.090963951651549</c:v>
                </c:pt>
                <c:pt idx="1">
                  <c:v>22.568829953986956</c:v>
                </c:pt>
                <c:pt idx="2">
                  <c:v>21.072976748769612</c:v>
                </c:pt>
                <c:pt idx="3">
                  <c:v>17.403037427306622</c:v>
                </c:pt>
                <c:pt idx="4">
                  <c:v>21.872089474291062</c:v>
                </c:pt>
                <c:pt idx="5">
                  <c:v>13.792581697497692</c:v>
                </c:pt>
                <c:pt idx="6">
                  <c:v>17.105946854379898</c:v>
                </c:pt>
                <c:pt idx="7">
                  <c:v>22.718205008390058</c:v>
                </c:pt>
                <c:pt idx="8">
                  <c:v>12.993510785365675</c:v>
                </c:pt>
                <c:pt idx="9">
                  <c:v>4.1072416162726766</c:v>
                </c:pt>
                <c:pt idx="10">
                  <c:v>8.660191225821201</c:v>
                </c:pt>
                <c:pt idx="11">
                  <c:v>8.3069061671738496</c:v>
                </c:pt>
                <c:pt idx="12">
                  <c:v>6.817717796656682</c:v>
                </c:pt>
                <c:pt idx="13">
                  <c:v>7.0711812323335463</c:v>
                </c:pt>
                <c:pt idx="14" formatCode="0.0">
                  <c:v>12.92579751008793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F88-4106-889C-FB7F0951E010}"/>
            </c:ext>
          </c:extLst>
        </c:ser>
        <c:ser>
          <c:idx val="5"/>
          <c:order val="5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strRef>
                  <c:f>pomocne!$H$25</c:f>
                  <c:strCache>
                    <c:ptCount val="1"/>
                    <c:pt idx="0">
                      <c:v>84,1</c:v>
                    </c:pt>
                  </c:strCache>
                </c:strRef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{F49B2E2A-FE54-4BF2-B1CD-ED395E6CB8D5}</c15:txfldGUID>
                      <c15:f>pomocne!$H$25</c15:f>
                      <c15:dlblFieldTableCache>
                        <c:ptCount val="1"/>
                        <c:pt idx="0">
                          <c:v>84,1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5-6F88-4106-889C-FB7F0951E010}"/>
                </c:ext>
              </c:extLst>
            </c:dLbl>
            <c:dLbl>
              <c:idx val="1"/>
              <c:tx>
                <c:strRef>
                  <c:f>pomocne!$H$26</c:f>
                  <c:strCache>
                    <c:ptCount val="1"/>
                    <c:pt idx="0">
                      <c:v>83,1</c:v>
                    </c:pt>
                  </c:strCache>
                </c:strRef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{C5AD15E4-CFFA-4345-9CEA-441B85EFD17F}</c15:txfldGUID>
                      <c15:f>pomocne!$H$26</c15:f>
                      <c15:dlblFieldTableCache>
                        <c:ptCount val="1"/>
                        <c:pt idx="0">
                          <c:v>83,1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6-6F88-4106-889C-FB7F0951E010}"/>
                </c:ext>
              </c:extLst>
            </c:dLbl>
            <c:dLbl>
              <c:idx val="2"/>
              <c:tx>
                <c:strRef>
                  <c:f>pomocne!$H$27</c:f>
                  <c:strCache>
                    <c:ptCount val="1"/>
                    <c:pt idx="0">
                      <c:v>82,7</c:v>
                    </c:pt>
                  </c:strCache>
                </c:strRef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{6B921D88-0DE6-4BF9-9513-6CDCB944DE48}</c15:txfldGUID>
                      <c15:f>pomocne!$H$27</c15:f>
                      <c15:dlblFieldTableCache>
                        <c:ptCount val="1"/>
                        <c:pt idx="0">
                          <c:v>82,7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7-6F88-4106-889C-FB7F0951E010}"/>
                </c:ext>
              </c:extLst>
            </c:dLbl>
            <c:dLbl>
              <c:idx val="3"/>
              <c:tx>
                <c:strRef>
                  <c:f>pomocne!$H$28</c:f>
                  <c:strCache>
                    <c:ptCount val="1"/>
                    <c:pt idx="0">
                      <c:v>80,2</c:v>
                    </c:pt>
                  </c:strCache>
                </c:strRef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{59AFBA56-E416-4609-80ED-82DD9E7F9C95}</c15:txfldGUID>
                      <c15:f>pomocne!$H$28</c15:f>
                      <c15:dlblFieldTableCache>
                        <c:ptCount val="1"/>
                        <c:pt idx="0">
                          <c:v>80,2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8-6F88-4106-889C-FB7F0951E010}"/>
                </c:ext>
              </c:extLst>
            </c:dLbl>
            <c:dLbl>
              <c:idx val="4"/>
              <c:tx>
                <c:strRef>
                  <c:f>pomocne!$H$29</c:f>
                  <c:strCache>
                    <c:ptCount val="1"/>
                    <c:pt idx="0">
                      <c:v>77,2</c:v>
                    </c:pt>
                  </c:strCache>
                </c:strRef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{1B21AEC4-7B8F-453F-B709-83C995642A68}</c15:txfldGUID>
                      <c15:f>pomocne!$H$29</c15:f>
                      <c15:dlblFieldTableCache>
                        <c:ptCount val="1"/>
                        <c:pt idx="0">
                          <c:v>77,2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9-6F88-4106-889C-FB7F0951E010}"/>
                </c:ext>
              </c:extLst>
            </c:dLbl>
            <c:dLbl>
              <c:idx val="5"/>
              <c:tx>
                <c:strRef>
                  <c:f>pomocne!$H$30</c:f>
                  <c:strCache>
                    <c:ptCount val="1"/>
                    <c:pt idx="0">
                      <c:v>72,6</c:v>
                    </c:pt>
                  </c:strCache>
                </c:strRef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{4B5DF9F2-293C-430A-8328-F6E209736321}</c15:txfldGUID>
                      <c15:f>pomocne!$H$30</c15:f>
                      <c15:dlblFieldTableCache>
                        <c:ptCount val="1"/>
                        <c:pt idx="0">
                          <c:v>72,6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A-6F88-4106-889C-FB7F0951E010}"/>
                </c:ext>
              </c:extLst>
            </c:dLbl>
            <c:dLbl>
              <c:idx val="6"/>
              <c:tx>
                <c:strRef>
                  <c:f>pomocne!$H$31</c:f>
                  <c:strCache>
                    <c:ptCount val="1"/>
                    <c:pt idx="0">
                      <c:v>71,1</c:v>
                    </c:pt>
                  </c:strCache>
                </c:strRef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{89CB14C2-4DD2-4C18-B9D4-E4BBC62D54C3}</c15:txfldGUID>
                      <c15:f>pomocne!$H$31</c15:f>
                      <c15:dlblFieldTableCache>
                        <c:ptCount val="1"/>
                        <c:pt idx="0">
                          <c:v>71,1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B-6F88-4106-889C-FB7F0951E010}"/>
                </c:ext>
              </c:extLst>
            </c:dLbl>
            <c:dLbl>
              <c:idx val="7"/>
              <c:tx>
                <c:strRef>
                  <c:f>pomocne!$H$32</c:f>
                  <c:strCache>
                    <c:ptCount val="1"/>
                    <c:pt idx="0">
                      <c:v>69,0</c:v>
                    </c:pt>
                  </c:strCache>
                </c:strRef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{21461B3D-6A76-45FF-8662-BFF333F151CF}</c15:txfldGUID>
                      <c15:f>pomocne!$H$32</c15:f>
                      <c15:dlblFieldTableCache>
                        <c:ptCount val="1"/>
                        <c:pt idx="0">
                          <c:v>69,0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C-6F88-4106-889C-FB7F0951E010}"/>
                </c:ext>
              </c:extLst>
            </c:dLbl>
            <c:dLbl>
              <c:idx val="8"/>
              <c:tx>
                <c:strRef>
                  <c:f>pomocne!$H$33</c:f>
                  <c:strCache>
                    <c:ptCount val="1"/>
                    <c:pt idx="0">
                      <c:v>67,3</c:v>
                    </c:pt>
                  </c:strCache>
                </c:strRef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{BD316C9C-C9EC-48D1-9E0C-45B51821DC80}</c15:txfldGUID>
                      <c15:f>pomocne!$H$33</c15:f>
                      <c15:dlblFieldTableCache>
                        <c:ptCount val="1"/>
                        <c:pt idx="0">
                          <c:v>67,3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D-6F88-4106-889C-FB7F0951E010}"/>
                </c:ext>
              </c:extLst>
            </c:dLbl>
            <c:dLbl>
              <c:idx val="9"/>
              <c:tx>
                <c:strRef>
                  <c:f>pomocne!$H$34</c:f>
                  <c:strCache>
                    <c:ptCount val="1"/>
                    <c:pt idx="0">
                      <c:v>66,5</c:v>
                    </c:pt>
                  </c:strCache>
                </c:strRef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{4CCB316D-8218-4A7C-9492-0896E8EDFC00}</c15:txfldGUID>
                      <c15:f>pomocne!$H$34</c15:f>
                      <c15:dlblFieldTableCache>
                        <c:ptCount val="1"/>
                        <c:pt idx="0">
                          <c:v>66,5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E-6F88-4106-889C-FB7F0951E010}"/>
                </c:ext>
              </c:extLst>
            </c:dLbl>
            <c:dLbl>
              <c:idx val="10"/>
              <c:tx>
                <c:strRef>
                  <c:f>pomocne!$H$35</c:f>
                  <c:strCache>
                    <c:ptCount val="1"/>
                    <c:pt idx="0">
                      <c:v>63,3</c:v>
                    </c:pt>
                  </c:strCache>
                </c:strRef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{E478F31E-F031-428C-8D77-276DEC2BB5C9}</c15:txfldGUID>
                      <c15:f>pomocne!$H$35</c15:f>
                      <c15:dlblFieldTableCache>
                        <c:ptCount val="1"/>
                        <c:pt idx="0">
                          <c:v>63,3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F-6F88-4106-889C-FB7F0951E010}"/>
                </c:ext>
              </c:extLst>
            </c:dLbl>
            <c:dLbl>
              <c:idx val="11"/>
              <c:tx>
                <c:strRef>
                  <c:f>pomocne!$H$36</c:f>
                  <c:strCache>
                    <c:ptCount val="1"/>
                    <c:pt idx="0">
                      <c:v>63,2</c:v>
                    </c:pt>
                  </c:strCache>
                </c:strRef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{42567B7D-2751-4323-A645-CFAF3B2310E3}</c15:txfldGUID>
                      <c15:f>pomocne!$H$36</c15:f>
                      <c15:dlblFieldTableCache>
                        <c:ptCount val="1"/>
                        <c:pt idx="0">
                          <c:v>63,2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0-6F88-4106-889C-FB7F0951E010}"/>
                </c:ext>
              </c:extLst>
            </c:dLbl>
            <c:dLbl>
              <c:idx val="12"/>
              <c:tx>
                <c:strRef>
                  <c:f>pomocne!$H$37</c:f>
                  <c:strCache>
                    <c:ptCount val="1"/>
                    <c:pt idx="0">
                      <c:v>62,2</c:v>
                    </c:pt>
                  </c:strCache>
                </c:strRef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{B743907A-BA3F-478B-A43A-E2E822DF6C3F}</c15:txfldGUID>
                      <c15:f>pomocne!$H$37</c15:f>
                      <c15:dlblFieldTableCache>
                        <c:ptCount val="1"/>
                        <c:pt idx="0">
                          <c:v>62,2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1-6F88-4106-889C-FB7F0951E010}"/>
                </c:ext>
              </c:extLst>
            </c:dLbl>
            <c:dLbl>
              <c:idx val="13"/>
              <c:tx>
                <c:strRef>
                  <c:f>pomocne!$H$38</c:f>
                  <c:strCache>
                    <c:ptCount val="1"/>
                    <c:pt idx="0">
                      <c:v>59,7</c:v>
                    </c:pt>
                  </c:strCache>
                </c:strRef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{D73F3560-EBA2-4C9D-AAA4-E3697850EC11}</c15:txfldGUID>
                      <c15:f>pomocne!$H$38</c15:f>
                      <c15:dlblFieldTableCache>
                        <c:ptCount val="1"/>
                        <c:pt idx="0">
                          <c:v>59,7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2-6F88-4106-889C-FB7F0951E010}"/>
                </c:ext>
              </c:extLst>
            </c:dLbl>
            <c:dLbl>
              <c:idx val="14"/>
              <c:tx>
                <c:strRef>
                  <c:f>pomocne!$H$39</c:f>
                  <c:strCache>
                    <c:ptCount val="1"/>
                    <c:pt idx="0">
                      <c:v>69,1</c:v>
                    </c:pt>
                  </c:strCache>
                </c:strRef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{B6D72D55-1BC1-4AEB-B661-AFC2DFFA4851}</c15:txfldGUID>
                      <c15:f>pomocne!$H$39</c15:f>
                      <c15:dlblFieldTableCache>
                        <c:ptCount val="1"/>
                        <c:pt idx="0">
                          <c:v>69,1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3-6F88-4106-889C-FB7F0951E01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pomocne!$M$6:$M$20</c:f>
              <c:numCache>
                <c:formatCode>#,##0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6F88-4106-889C-FB7F0951E0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4"/>
        <c:overlap val="100"/>
        <c:axId val="1986423072"/>
        <c:axId val="1986421824"/>
      </c:barChart>
      <c:catAx>
        <c:axId val="198642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986421824"/>
        <c:crosses val="autoZero"/>
        <c:auto val="1"/>
        <c:lblAlgn val="ctr"/>
        <c:lblOffset val="100"/>
        <c:noMultiLvlLbl val="0"/>
      </c:catAx>
      <c:valAx>
        <c:axId val="1986421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9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výtěžnost </a:t>
                </a:r>
                <a:r>
                  <a:rPr lang="en-US"/>
                  <a:t>[</a:t>
                </a:r>
                <a:r>
                  <a:rPr lang="cs-CZ"/>
                  <a:t>kg/ob.</a:t>
                </a:r>
                <a:r>
                  <a:rPr lang="en-US"/>
                  <a:t>]</a:t>
                </a:r>
                <a:endParaRPr lang="cs-CZ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986423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87873572770699626"/>
          <c:y val="0.34469138288660206"/>
          <c:w val="5.8456428240587568E-2"/>
          <c:h val="0.352790003081566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0.8201</cdr:x>
      <cdr:y>0.91049</cdr:y>
    </cdr:from>
    <cdr:to>
      <cdr:x>1</cdr:x>
      <cdr:y>1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4791030" y="2260600"/>
          <a:ext cx="1050971" cy="2222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cs-CZ" sz="800" i="1">
              <a:solidFill>
                <a:schemeClr val="bg1">
                  <a:lumMod val="50000"/>
                </a:schemeClr>
              </a:solidFill>
            </a:rPr>
            <a:t>zdroj: EKO-KOM, a.s.</a:t>
          </a:r>
        </a:p>
      </cdr:txBody>
    </cdr:sp>
  </cdr:relSizeAnchor>
</c:userShape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63F84-CB76-424A-A543-8134FB9AD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EKO-KOM, a.s.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Müllerová Lucie</dc:creator>
  <cp:lastModifiedBy>Zgrajová Lenka</cp:lastModifiedBy>
  <cp:revision>2</cp:revision>
  <cp:lastPrinted>2026-05-07T13:24:00Z</cp:lastPrinted>
  <dcterms:created xsi:type="dcterms:W3CDTF">2026-05-14T13:06:00Z</dcterms:created>
  <dcterms:modified xsi:type="dcterms:W3CDTF">2026-05-14T13:06:00Z</dcterms:modified>
</cp:coreProperties>
</file>