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4DB8" w14:textId="694EFB63" w:rsidR="000E089F" w:rsidRPr="00CD4599" w:rsidRDefault="00CD4599" w:rsidP="00CD4599">
      <w:pPr>
        <w:jc w:val="center"/>
        <w:rPr>
          <w:b/>
          <w:bCs/>
          <w:lang w:val="cs-CZ"/>
        </w:rPr>
      </w:pPr>
      <w:r w:rsidRPr="00CD4599">
        <w:rPr>
          <w:b/>
          <w:bCs/>
          <w:lang w:val="cs-CZ"/>
        </w:rPr>
        <w:t>Nástroje MZV Program Ukrajina</w:t>
      </w:r>
    </w:p>
    <w:p w14:paraId="10CC5F60" w14:textId="77777777" w:rsidR="00D1716C" w:rsidRDefault="00D1716C" w:rsidP="00074792">
      <w:pPr>
        <w:jc w:val="both"/>
        <w:rPr>
          <w:u w:val="single"/>
          <w:lang w:val="cs-CZ"/>
        </w:rPr>
      </w:pPr>
    </w:p>
    <w:p w14:paraId="1F4809D5" w14:textId="26AB32E6" w:rsidR="000E089F" w:rsidRDefault="000E089F" w:rsidP="00074792">
      <w:pPr>
        <w:jc w:val="both"/>
        <w:rPr>
          <w:lang w:val="cs-CZ"/>
        </w:rPr>
      </w:pPr>
      <w:r w:rsidRPr="00A94816">
        <w:rPr>
          <w:u w:val="single"/>
          <w:lang w:val="cs-CZ"/>
        </w:rPr>
        <w:t xml:space="preserve">Program humanitární, stabilizační, rekonstrukční a hospodářské asistence Ukrajině v letech 2023 - 2025 </w:t>
      </w:r>
      <w:r w:rsidRPr="00A94816">
        <w:rPr>
          <w:lang w:val="cs-CZ"/>
        </w:rPr>
        <w:t xml:space="preserve">(schválený vládou ČR 12. 10. 2022) obsahuje hlavní zásady pro pokračující pomoc ČR Ukrajině a návrh komplexního asistenčního programu. Program se zaměřuje především na podporu vnitřně vysídleného obyvatelstva i uprchlíků v Moldavsku (přístup k přístřeší, zdravotní péči, výživě a zdrojům obživy), a dále na podporu ukrajinského průmyslu, energetiky, školství, zdravotnictví, právního státu a boje proti korupci. Implementaci </w:t>
      </w:r>
      <w:r w:rsidRPr="00E56738">
        <w:rPr>
          <w:lang w:val="cs-CZ"/>
        </w:rPr>
        <w:t>Programu koordinuje MZV předsedající pracovní skupině pro Ukrajinu při Radě pro ZRS. Celková roční alokace Programu je 500 mil. Kč.</w:t>
      </w:r>
      <w:r w:rsidRPr="00A94816">
        <w:rPr>
          <w:lang w:val="cs-CZ"/>
        </w:rPr>
        <w:t xml:space="preserve"> </w:t>
      </w:r>
    </w:p>
    <w:p w14:paraId="30D9A5A2" w14:textId="12BA3E53" w:rsidR="00B95D36" w:rsidRPr="00E56738" w:rsidRDefault="00B95D36" w:rsidP="00B95D36">
      <w:pPr>
        <w:jc w:val="both"/>
        <w:rPr>
          <w:u w:val="single"/>
          <w:lang w:val="cs-CZ"/>
        </w:rPr>
      </w:pPr>
      <w:r w:rsidRPr="00E56738">
        <w:rPr>
          <w:u w:val="single"/>
          <w:lang w:val="cs-CZ"/>
        </w:rPr>
        <w:t xml:space="preserve">Nástroje: </w:t>
      </w:r>
    </w:p>
    <w:p w14:paraId="22FB085D" w14:textId="7094977A" w:rsidR="00B95D36" w:rsidRDefault="00772016" w:rsidP="00B95D36">
      <w:pPr>
        <w:pStyle w:val="ListParagraph"/>
        <w:numPr>
          <w:ilvl w:val="0"/>
          <w:numId w:val="4"/>
        </w:numPr>
        <w:jc w:val="both"/>
        <w:rPr>
          <w:lang w:val="cs-CZ"/>
        </w:rPr>
      </w:pPr>
      <w:r>
        <w:rPr>
          <w:lang w:val="cs-CZ"/>
        </w:rPr>
        <w:t xml:space="preserve">Humanitární </w:t>
      </w:r>
      <w:r w:rsidR="00C62F13">
        <w:rPr>
          <w:lang w:val="cs-CZ"/>
        </w:rPr>
        <w:t>a stabilizační pomoc Ukrajině</w:t>
      </w:r>
      <w:r w:rsidR="00113D56">
        <w:rPr>
          <w:lang w:val="cs-CZ"/>
        </w:rPr>
        <w:t xml:space="preserve"> – realizace </w:t>
      </w:r>
      <w:r w:rsidR="00113D56" w:rsidRPr="00113D56">
        <w:rPr>
          <w:lang w:val="cs-CZ"/>
        </w:rPr>
        <w:t>projektů na Ukrajině a ve prospěch uprchlíků z Ukrajiny  v sousedních zemích regionu (kromě členských zemí EU) – zejména v</w:t>
      </w:r>
      <w:r w:rsidR="00113D56">
        <w:rPr>
          <w:lang w:val="cs-CZ"/>
        </w:rPr>
        <w:t> </w:t>
      </w:r>
      <w:r w:rsidR="00113D56" w:rsidRPr="00113D56">
        <w:rPr>
          <w:lang w:val="cs-CZ"/>
        </w:rPr>
        <w:t>Moldavsku</w:t>
      </w:r>
    </w:p>
    <w:p w14:paraId="4A915B26" w14:textId="4378FA07" w:rsidR="00113D56" w:rsidRDefault="003A4A6A" w:rsidP="00801947">
      <w:pPr>
        <w:pStyle w:val="ListParagraph"/>
        <w:numPr>
          <w:ilvl w:val="0"/>
          <w:numId w:val="4"/>
        </w:numPr>
        <w:jc w:val="both"/>
        <w:rPr>
          <w:lang w:val="cs-CZ"/>
        </w:rPr>
      </w:pPr>
      <w:r>
        <w:rPr>
          <w:lang w:val="cs-CZ"/>
        </w:rPr>
        <w:t xml:space="preserve">Spolupráce veřejných vysokých škol - </w:t>
      </w:r>
      <w:r w:rsidR="00801947" w:rsidRPr="00801947">
        <w:rPr>
          <w:lang w:val="cs-CZ"/>
        </w:rPr>
        <w:t>podpora meziuniverzitní vědecké, výzkumné a pedagogické spolupráce, realizaci specializovaných krátkodobých, několikaměsíčních, předávání českého know-how v oblasti managementu vysokého školství, spolupráci v odborné publikační činnosti, vědeckou a akademickou spolupráci v oblasti posilování kybernetické bezpečnosti, apod.</w:t>
      </w:r>
    </w:p>
    <w:p w14:paraId="5F96E51F" w14:textId="69A7E0BB" w:rsidR="00E9047B" w:rsidRDefault="00913ACC" w:rsidP="00801947">
      <w:pPr>
        <w:pStyle w:val="ListParagraph"/>
        <w:numPr>
          <w:ilvl w:val="0"/>
          <w:numId w:val="4"/>
        </w:numPr>
        <w:jc w:val="both"/>
        <w:rPr>
          <w:lang w:val="cs-CZ"/>
        </w:rPr>
      </w:pPr>
      <w:r>
        <w:rPr>
          <w:lang w:val="cs-CZ"/>
        </w:rPr>
        <w:t>Peněžní dary pro ukrajinské nevládní organizace</w:t>
      </w:r>
      <w:r w:rsidR="005B62F5">
        <w:rPr>
          <w:lang w:val="cs-CZ"/>
        </w:rPr>
        <w:t xml:space="preserve"> a mezinárodní organizace</w:t>
      </w:r>
    </w:p>
    <w:p w14:paraId="654B6B3A" w14:textId="588F7DC5" w:rsidR="00913ACC" w:rsidRDefault="0018332D" w:rsidP="00801947">
      <w:pPr>
        <w:pStyle w:val="ListParagraph"/>
        <w:numPr>
          <w:ilvl w:val="0"/>
          <w:numId w:val="4"/>
        </w:numPr>
        <w:jc w:val="both"/>
        <w:rPr>
          <w:lang w:val="cs-CZ"/>
        </w:rPr>
      </w:pPr>
      <w:r>
        <w:rPr>
          <w:lang w:val="cs-CZ"/>
        </w:rPr>
        <w:t>Vázané peněžní dary - d</w:t>
      </w:r>
      <w:r w:rsidR="00913ACC">
        <w:rPr>
          <w:lang w:val="cs-CZ"/>
        </w:rPr>
        <w:t xml:space="preserve">odávka </w:t>
      </w:r>
      <w:r>
        <w:rPr>
          <w:lang w:val="cs-CZ"/>
        </w:rPr>
        <w:t xml:space="preserve">českých </w:t>
      </w:r>
      <w:r w:rsidR="00913ACC">
        <w:rPr>
          <w:lang w:val="cs-CZ"/>
        </w:rPr>
        <w:t xml:space="preserve">technologií navázaná na konkrétní </w:t>
      </w:r>
      <w:r>
        <w:rPr>
          <w:lang w:val="cs-CZ"/>
        </w:rPr>
        <w:t>poptávku ukrajinského subjektu</w:t>
      </w:r>
    </w:p>
    <w:p w14:paraId="72DB54AF" w14:textId="6D7359D5" w:rsidR="00AA18B2" w:rsidRDefault="00AA18B2" w:rsidP="00801947">
      <w:pPr>
        <w:pStyle w:val="ListParagraph"/>
        <w:numPr>
          <w:ilvl w:val="0"/>
          <w:numId w:val="4"/>
        </w:numPr>
        <w:jc w:val="both"/>
        <w:rPr>
          <w:lang w:val="cs-CZ"/>
        </w:rPr>
      </w:pPr>
      <w:r>
        <w:rPr>
          <w:lang w:val="cs-CZ"/>
        </w:rPr>
        <w:t xml:space="preserve">Transformační spolupráce - </w:t>
      </w:r>
      <w:r w:rsidR="00EB499F" w:rsidRPr="00EB499F">
        <w:rPr>
          <w:lang w:val="cs-CZ"/>
        </w:rPr>
        <w:t>Podpora lidských práv, obránců lidských práv a občanské společnosti</w:t>
      </w:r>
      <w:r w:rsidR="009D1F6C">
        <w:rPr>
          <w:lang w:val="cs-CZ"/>
        </w:rPr>
        <w:t>, z</w:t>
      </w:r>
      <w:r w:rsidR="009D1F6C" w:rsidRPr="009D1F6C">
        <w:rPr>
          <w:lang w:val="cs-CZ"/>
        </w:rPr>
        <w:t>vyšování kompetencí vedoucích pracovníků škol a učitelů v kontextu války</w:t>
      </w:r>
      <w:r w:rsidR="009D1F6C">
        <w:rPr>
          <w:lang w:val="cs-CZ"/>
        </w:rPr>
        <w:t>, p</w:t>
      </w:r>
      <w:r w:rsidR="009D1F6C" w:rsidRPr="009D1F6C">
        <w:rPr>
          <w:lang w:val="cs-CZ"/>
        </w:rPr>
        <w:t>odpora iniciativ a aktivismu v oblasti životního prostředí</w:t>
      </w:r>
    </w:p>
    <w:p w14:paraId="4F577597" w14:textId="2F2364BC" w:rsidR="00CD1628" w:rsidRPr="00B95D36" w:rsidRDefault="00E9047B" w:rsidP="00801947">
      <w:pPr>
        <w:pStyle w:val="ListParagraph"/>
        <w:numPr>
          <w:ilvl w:val="0"/>
          <w:numId w:val="4"/>
        </w:numPr>
        <w:jc w:val="both"/>
        <w:rPr>
          <w:lang w:val="cs-CZ"/>
        </w:rPr>
      </w:pPr>
      <w:r>
        <w:rPr>
          <w:lang w:val="cs-CZ"/>
        </w:rPr>
        <w:t xml:space="preserve">Aktivity České rozvojové agentury – viz </w:t>
      </w:r>
      <w:hyperlink r:id="rId5" w:history="1">
        <w:r w:rsidRPr="00E9047B">
          <w:rPr>
            <w:rStyle w:val="Hyperlink"/>
            <w:lang w:val="cs-CZ"/>
          </w:rPr>
          <w:t>odkaz</w:t>
        </w:r>
      </w:hyperlink>
    </w:p>
    <w:p w14:paraId="10891892" w14:textId="77777777" w:rsidR="00A94816" w:rsidRDefault="00A94816" w:rsidP="00074792">
      <w:pPr>
        <w:jc w:val="both"/>
        <w:rPr>
          <w:u w:val="single"/>
          <w:lang w:val="cs-CZ"/>
        </w:rPr>
      </w:pPr>
    </w:p>
    <w:p w14:paraId="29ADF9E3" w14:textId="5257E215" w:rsidR="000E089F" w:rsidRPr="000E089F" w:rsidRDefault="000E089F" w:rsidP="00074792">
      <w:pPr>
        <w:jc w:val="both"/>
        <w:rPr>
          <w:u w:val="single"/>
          <w:lang w:val="cs-CZ"/>
        </w:rPr>
      </w:pPr>
      <w:r w:rsidRPr="000E089F">
        <w:rPr>
          <w:u w:val="single"/>
          <w:lang w:val="cs-CZ"/>
        </w:rPr>
        <w:t>Nástroj na podporu Ukrajiny - Ukraine Facility 2024 - 2027</w:t>
      </w:r>
    </w:p>
    <w:p w14:paraId="12583436" w14:textId="77777777" w:rsidR="000E089F" w:rsidRPr="000E089F" w:rsidRDefault="000E089F" w:rsidP="00074792">
      <w:pPr>
        <w:jc w:val="both"/>
        <w:rPr>
          <w:lang w:val="cs-CZ"/>
        </w:rPr>
      </w:pPr>
      <w:r w:rsidRPr="000E089F">
        <w:rPr>
          <w:lang w:val="cs-CZ"/>
        </w:rPr>
        <w:t xml:space="preserve">V rámci střednědobé revize Víceletého finančního rámce (VFR) na léta 2021-2027 EU Komise představila dne 20. června 2023 návrh na vytvoření Nástroje na podporu Ukrajiny (Ukraine Facility), který byl schválen 1. února 2024. Jedná se o základní nástroj pomoci EU Ukrajině a spolu s Plánem obnovy Ukrajiny (Ukraine Plan) hlavní nástroj pro sbližování Ukrajiny s EU i v podmínkách války a potřeby stabilizace. V rámci II. investičního pilíře Nástroje EU na </w:t>
      </w:r>
      <w:r w:rsidRPr="000E089F">
        <w:rPr>
          <w:lang w:val="cs-CZ"/>
        </w:rPr>
        <w:lastRenderedPageBreak/>
        <w:t>obnovu Ukrajiny (</w:t>
      </w:r>
      <w:r w:rsidRPr="000E089F">
        <w:rPr>
          <w:i/>
          <w:iCs/>
          <w:lang w:val="cs-CZ"/>
        </w:rPr>
        <w:t>Ukraine Facility</w:t>
      </w:r>
      <w:r w:rsidRPr="000E089F">
        <w:rPr>
          <w:lang w:val="cs-CZ"/>
        </w:rPr>
        <w:t>) uspěla ČR se dvěma návrhy, které byly v prosinci 2024 schváleny Evropskou komisí a v dubnu 2025 i řídícím výborem Nástroje.</w:t>
      </w:r>
    </w:p>
    <w:p w14:paraId="504A2D86" w14:textId="38F1DB78" w:rsidR="00DC430D" w:rsidRDefault="00063A43" w:rsidP="00074792">
      <w:pPr>
        <w:jc w:val="both"/>
        <w:rPr>
          <w:lang w:val="cs-CZ"/>
        </w:rPr>
      </w:pPr>
      <w:r w:rsidRPr="00063A43">
        <w:rPr>
          <w:lang w:val="cs-CZ"/>
        </w:rPr>
        <w:t xml:space="preserve">Česko z evropského rozpočtu získá 188 milionů eur, tedy asi 4,7 miliardy korun, ve formě záruk na investiční úvěry a kombinovaných záruk s granty. První </w:t>
      </w:r>
      <w:r w:rsidR="00A45887">
        <w:rPr>
          <w:lang w:val="cs-CZ"/>
        </w:rPr>
        <w:t>program</w:t>
      </w:r>
      <w:r w:rsidRPr="00063A43">
        <w:rPr>
          <w:lang w:val="cs-CZ"/>
        </w:rPr>
        <w:t xml:space="preserve"> cílí na projekty v oblasti kritické infrastruktury, především obnovy ukrajinské energetiky. Na tento program bude z evropského rozpočtu poskytnuto 100 milionů eur, tedy asi 2,6 miliardy korun, ve formě záruk na bankovní úvěry. Dalších asi 850 milionů korun na úvěrové financování pro české podniky plánuje poskytnout Ministerstvo průmyslu a obchodu a Ministerstvo zahraničních věcí.</w:t>
      </w:r>
    </w:p>
    <w:p w14:paraId="49C49DA5" w14:textId="317D5898" w:rsidR="00915F09" w:rsidRPr="00915F09" w:rsidRDefault="00915F09" w:rsidP="00915F09">
      <w:pPr>
        <w:jc w:val="both"/>
        <w:rPr>
          <w:lang w:val="cs-CZ"/>
        </w:rPr>
      </w:pPr>
      <w:r w:rsidRPr="00915F09">
        <w:rPr>
          <w:lang w:val="cs-CZ"/>
        </w:rPr>
        <w:t>Podnikatelé díky záruce mohou na své projekty na Ukrajině získat levnější financování a nemusí se obávat válečného či politického rizika.</w:t>
      </w:r>
      <w:r w:rsidR="00A45887">
        <w:rPr>
          <w:lang w:val="cs-CZ"/>
        </w:rPr>
        <w:t xml:space="preserve"> </w:t>
      </w:r>
      <w:r w:rsidRPr="00915F09">
        <w:rPr>
          <w:lang w:val="cs-CZ"/>
        </w:rPr>
        <w:t>EU vytvořila „Nástroj pro Ukrajinu“ na začátku loňského roku s cílem podpořit ukrajinskou ekonomiku injekcí o celkovém objemu 50 miliard eur. EU počítá, že finance se do evropské ekonomiky do značné míry vrátí. Podporu Ukrajině poskytla formou půjčky a značnou část plánuje vložit právě do investičních projektů firem sídlících v EU, které mají ambice zapojit se do rekonstrukce Ukrajiny.</w:t>
      </w:r>
    </w:p>
    <w:p w14:paraId="64912926" w14:textId="16E0A1CE" w:rsidR="00915F09" w:rsidRPr="00063A43" w:rsidRDefault="00915F09" w:rsidP="00915F09">
      <w:pPr>
        <w:jc w:val="both"/>
        <w:rPr>
          <w:lang w:val="cs-CZ"/>
        </w:rPr>
      </w:pPr>
      <w:r w:rsidRPr="00915F09">
        <w:rPr>
          <w:lang w:val="cs-CZ"/>
        </w:rPr>
        <w:t>Druhý český program, který EU podpořila, je určen na modernizaci 6 vybraných ukrajinských nemocnic. Za tímto účelem od Česka z evropského rozpočtu získá celkem 88 milionů eur. Poskytnuty budou ve formě garancí na bankovní úvěry, grantů a technické asistence pro nemocnice. Díky poskytnuté podpoře si nemocnice budou moci nakoupit například moderní zdravotnickou techniku od českých výrobců nebo odborný trénink český expertů. Program ve spolupráci s Národní rozvojovou bankou otevře Česká rozvojová agentura. Na zdravotnický program plánuje Česko přispět z národního rozpočtu zhruba 200 miliony korun.</w:t>
      </w:r>
    </w:p>
    <w:p w14:paraId="425CF266" w14:textId="77777777" w:rsidR="00E76DF2" w:rsidRPr="00D1716C" w:rsidRDefault="00E76DF2" w:rsidP="00074792">
      <w:pPr>
        <w:jc w:val="both"/>
        <w:rPr>
          <w:lang w:val="cs-CZ"/>
        </w:rPr>
      </w:pPr>
    </w:p>
    <w:p w14:paraId="23F325E8" w14:textId="19E35C69" w:rsidR="00074792" w:rsidRDefault="00074792" w:rsidP="00074792">
      <w:pPr>
        <w:jc w:val="both"/>
      </w:pPr>
      <w:r>
        <w:t>MZV ORS</w:t>
      </w:r>
    </w:p>
    <w:p w14:paraId="196AD4C6" w14:textId="56C06599" w:rsidR="00074792" w:rsidRDefault="00074792" w:rsidP="00074792">
      <w:pPr>
        <w:jc w:val="both"/>
      </w:pPr>
      <w:r>
        <w:t>28. května 2025</w:t>
      </w:r>
    </w:p>
    <w:sectPr w:rsidR="0007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259"/>
    <w:multiLevelType w:val="hybridMultilevel"/>
    <w:tmpl w:val="37A8B38A"/>
    <w:lvl w:ilvl="0" w:tplc="9CA84B7E">
      <w:start w:val="1"/>
      <w:numFmt w:val="bullet"/>
      <w:lvlText w:val=""/>
      <w:lvlJc w:val="left"/>
      <w:pPr>
        <w:ind w:left="720" w:hanging="360"/>
      </w:pPr>
      <w:rPr>
        <w:rFonts w:ascii="Symbol" w:hAnsi="Symbol" w:hint="default"/>
        <w:color w:val="000000"/>
      </w:rPr>
    </w:lvl>
    <w:lvl w:ilvl="1" w:tplc="AC5E2A0C">
      <w:start w:val="1"/>
      <w:numFmt w:val="bullet"/>
      <w:lvlText w:val="o"/>
      <w:lvlJc w:val="left"/>
      <w:pPr>
        <w:ind w:left="1440" w:hanging="360"/>
      </w:pPr>
      <w:rPr>
        <w:rFonts w:ascii="Courier New" w:hAnsi="Courier New" w:cs="Courier New" w:hint="default"/>
      </w:rPr>
    </w:lvl>
    <w:lvl w:ilvl="2" w:tplc="72301A68">
      <w:start w:val="1"/>
      <w:numFmt w:val="bullet"/>
      <w:lvlText w:val=""/>
      <w:lvlJc w:val="left"/>
      <w:pPr>
        <w:ind w:left="2160" w:hanging="360"/>
      </w:pPr>
      <w:rPr>
        <w:rFonts w:ascii="Wingdings" w:hAnsi="Wingdings" w:hint="default"/>
      </w:rPr>
    </w:lvl>
    <w:lvl w:ilvl="3" w:tplc="4EFEE8AC">
      <w:start w:val="1"/>
      <w:numFmt w:val="bullet"/>
      <w:lvlText w:val=""/>
      <w:lvlJc w:val="left"/>
      <w:pPr>
        <w:ind w:left="2880" w:hanging="360"/>
      </w:pPr>
      <w:rPr>
        <w:rFonts w:ascii="Symbol" w:hAnsi="Symbol" w:hint="default"/>
      </w:rPr>
    </w:lvl>
    <w:lvl w:ilvl="4" w:tplc="A1EC75F0">
      <w:start w:val="1"/>
      <w:numFmt w:val="bullet"/>
      <w:lvlText w:val="o"/>
      <w:lvlJc w:val="left"/>
      <w:pPr>
        <w:ind w:left="3600" w:hanging="360"/>
      </w:pPr>
      <w:rPr>
        <w:rFonts w:ascii="Courier New" w:hAnsi="Courier New" w:cs="Courier New" w:hint="default"/>
      </w:rPr>
    </w:lvl>
    <w:lvl w:ilvl="5" w:tplc="F13C3414">
      <w:start w:val="1"/>
      <w:numFmt w:val="bullet"/>
      <w:lvlText w:val=""/>
      <w:lvlJc w:val="left"/>
      <w:pPr>
        <w:ind w:left="4320" w:hanging="360"/>
      </w:pPr>
      <w:rPr>
        <w:rFonts w:ascii="Wingdings" w:hAnsi="Wingdings" w:hint="default"/>
      </w:rPr>
    </w:lvl>
    <w:lvl w:ilvl="6" w:tplc="6D3616E6">
      <w:start w:val="1"/>
      <w:numFmt w:val="bullet"/>
      <w:lvlText w:val=""/>
      <w:lvlJc w:val="left"/>
      <w:pPr>
        <w:ind w:left="5040" w:hanging="360"/>
      </w:pPr>
      <w:rPr>
        <w:rFonts w:ascii="Symbol" w:hAnsi="Symbol" w:hint="default"/>
      </w:rPr>
    </w:lvl>
    <w:lvl w:ilvl="7" w:tplc="F07C593A">
      <w:start w:val="1"/>
      <w:numFmt w:val="bullet"/>
      <w:lvlText w:val="o"/>
      <w:lvlJc w:val="left"/>
      <w:pPr>
        <w:ind w:left="5760" w:hanging="360"/>
      </w:pPr>
      <w:rPr>
        <w:rFonts w:ascii="Courier New" w:hAnsi="Courier New" w:cs="Courier New" w:hint="default"/>
      </w:rPr>
    </w:lvl>
    <w:lvl w:ilvl="8" w:tplc="872E5506">
      <w:start w:val="1"/>
      <w:numFmt w:val="bullet"/>
      <w:lvlText w:val=""/>
      <w:lvlJc w:val="left"/>
      <w:pPr>
        <w:ind w:left="6480" w:hanging="360"/>
      </w:pPr>
      <w:rPr>
        <w:rFonts w:ascii="Wingdings" w:hAnsi="Wingdings" w:hint="default"/>
      </w:rPr>
    </w:lvl>
  </w:abstractNum>
  <w:abstractNum w:abstractNumId="1" w15:restartNumberingAfterBreak="0">
    <w:nsid w:val="252E1051"/>
    <w:multiLevelType w:val="hybridMultilevel"/>
    <w:tmpl w:val="4B08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43DCE"/>
    <w:multiLevelType w:val="hybridMultilevel"/>
    <w:tmpl w:val="7DF0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547C8"/>
    <w:multiLevelType w:val="hybridMultilevel"/>
    <w:tmpl w:val="EE6C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912986">
    <w:abstractNumId w:val="0"/>
  </w:num>
  <w:num w:numId="2" w16cid:durableId="1925724812">
    <w:abstractNumId w:val="3"/>
  </w:num>
  <w:num w:numId="3" w16cid:durableId="1022896891">
    <w:abstractNumId w:val="1"/>
  </w:num>
  <w:num w:numId="4" w16cid:durableId="1281300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50"/>
    <w:rsid w:val="00063A43"/>
    <w:rsid w:val="00074792"/>
    <w:rsid w:val="000E089F"/>
    <w:rsid w:val="00113D56"/>
    <w:rsid w:val="001424E3"/>
    <w:rsid w:val="00153F02"/>
    <w:rsid w:val="0018332D"/>
    <w:rsid w:val="001B039B"/>
    <w:rsid w:val="001D3CCD"/>
    <w:rsid w:val="003A4A6A"/>
    <w:rsid w:val="00536E33"/>
    <w:rsid w:val="005B62F5"/>
    <w:rsid w:val="0068655B"/>
    <w:rsid w:val="00772016"/>
    <w:rsid w:val="007A60DC"/>
    <w:rsid w:val="00801947"/>
    <w:rsid w:val="00806649"/>
    <w:rsid w:val="008D7D42"/>
    <w:rsid w:val="00913ACC"/>
    <w:rsid w:val="00915F09"/>
    <w:rsid w:val="009A5634"/>
    <w:rsid w:val="009D1F6C"/>
    <w:rsid w:val="00A45887"/>
    <w:rsid w:val="00A94816"/>
    <w:rsid w:val="00AA1353"/>
    <w:rsid w:val="00AA18B2"/>
    <w:rsid w:val="00AC1F59"/>
    <w:rsid w:val="00AF4D61"/>
    <w:rsid w:val="00B95D36"/>
    <w:rsid w:val="00C54950"/>
    <w:rsid w:val="00C62F13"/>
    <w:rsid w:val="00CD1628"/>
    <w:rsid w:val="00CD4599"/>
    <w:rsid w:val="00D1716C"/>
    <w:rsid w:val="00D924B4"/>
    <w:rsid w:val="00DC430D"/>
    <w:rsid w:val="00E56738"/>
    <w:rsid w:val="00E76DF2"/>
    <w:rsid w:val="00E9047B"/>
    <w:rsid w:val="00EB499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DAD1"/>
  <w15:chartTrackingRefBased/>
  <w15:docId w15:val="{AB91CAE9-6D26-414B-865D-6756234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950"/>
    <w:rPr>
      <w:rFonts w:eastAsiaTheme="majorEastAsia" w:cstheme="majorBidi"/>
      <w:color w:val="272727" w:themeColor="text1" w:themeTint="D8"/>
    </w:rPr>
  </w:style>
  <w:style w:type="paragraph" w:styleId="Title">
    <w:name w:val="Title"/>
    <w:basedOn w:val="Normal"/>
    <w:next w:val="Normal"/>
    <w:link w:val="TitleChar"/>
    <w:uiPriority w:val="10"/>
    <w:qFormat/>
    <w:rsid w:val="00C54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950"/>
    <w:pPr>
      <w:spacing w:before="160"/>
      <w:jc w:val="center"/>
    </w:pPr>
    <w:rPr>
      <w:i/>
      <w:iCs/>
      <w:color w:val="404040" w:themeColor="text1" w:themeTint="BF"/>
    </w:rPr>
  </w:style>
  <w:style w:type="character" w:customStyle="1" w:styleId="QuoteChar">
    <w:name w:val="Quote Char"/>
    <w:basedOn w:val="DefaultParagraphFont"/>
    <w:link w:val="Quote"/>
    <w:uiPriority w:val="29"/>
    <w:rsid w:val="00C54950"/>
    <w:rPr>
      <w:i/>
      <w:iCs/>
      <w:color w:val="404040" w:themeColor="text1" w:themeTint="BF"/>
    </w:rPr>
  </w:style>
  <w:style w:type="paragraph" w:styleId="ListParagraph">
    <w:name w:val="List Paragraph"/>
    <w:basedOn w:val="Normal"/>
    <w:uiPriority w:val="34"/>
    <w:qFormat/>
    <w:rsid w:val="00C54950"/>
    <w:pPr>
      <w:ind w:left="720"/>
      <w:contextualSpacing/>
    </w:pPr>
  </w:style>
  <w:style w:type="character" w:styleId="IntenseEmphasis">
    <w:name w:val="Intense Emphasis"/>
    <w:basedOn w:val="DefaultParagraphFont"/>
    <w:uiPriority w:val="21"/>
    <w:qFormat/>
    <w:rsid w:val="00C54950"/>
    <w:rPr>
      <w:i/>
      <w:iCs/>
      <w:color w:val="0F4761" w:themeColor="accent1" w:themeShade="BF"/>
    </w:rPr>
  </w:style>
  <w:style w:type="paragraph" w:styleId="IntenseQuote">
    <w:name w:val="Intense Quote"/>
    <w:basedOn w:val="Normal"/>
    <w:next w:val="Normal"/>
    <w:link w:val="IntenseQuoteChar"/>
    <w:uiPriority w:val="30"/>
    <w:qFormat/>
    <w:rsid w:val="00C54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950"/>
    <w:rPr>
      <w:i/>
      <w:iCs/>
      <w:color w:val="0F4761" w:themeColor="accent1" w:themeShade="BF"/>
    </w:rPr>
  </w:style>
  <w:style w:type="character" w:styleId="IntenseReference">
    <w:name w:val="Intense Reference"/>
    <w:basedOn w:val="DefaultParagraphFont"/>
    <w:uiPriority w:val="32"/>
    <w:qFormat/>
    <w:rsid w:val="00C54950"/>
    <w:rPr>
      <w:b/>
      <w:bCs/>
      <w:smallCaps/>
      <w:color w:val="0F4761" w:themeColor="accent1" w:themeShade="BF"/>
      <w:spacing w:val="5"/>
    </w:rPr>
  </w:style>
  <w:style w:type="character" w:styleId="Hyperlink">
    <w:name w:val="Hyperlink"/>
    <w:basedOn w:val="DefaultParagraphFont"/>
    <w:uiPriority w:val="99"/>
    <w:unhideWhenUsed/>
    <w:rsid w:val="00E9047B"/>
    <w:rPr>
      <w:color w:val="467886" w:themeColor="hyperlink"/>
      <w:u w:val="single"/>
    </w:rPr>
  </w:style>
  <w:style w:type="character" w:styleId="UnresolvedMention">
    <w:name w:val="Unresolved Mention"/>
    <w:basedOn w:val="DefaultParagraphFont"/>
    <w:uiPriority w:val="99"/>
    <w:semiHidden/>
    <w:unhideWhenUsed/>
    <w:rsid w:val="00E9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84583">
      <w:bodyDiv w:val="1"/>
      <w:marLeft w:val="0"/>
      <w:marRight w:val="0"/>
      <w:marTop w:val="0"/>
      <w:marBottom w:val="0"/>
      <w:divBdr>
        <w:top w:val="none" w:sz="0" w:space="0" w:color="auto"/>
        <w:left w:val="none" w:sz="0" w:space="0" w:color="auto"/>
        <w:bottom w:val="none" w:sz="0" w:space="0" w:color="auto"/>
        <w:right w:val="none" w:sz="0" w:space="0" w:color="auto"/>
      </w:divBdr>
    </w:div>
    <w:div w:id="11161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zechaid.cz/aktivity/kde-a-jak-pracujeme/ukraji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Zemanová</dc:creator>
  <cp:keywords/>
  <dc:description/>
  <cp:lastModifiedBy>Zuzana Zemanová</cp:lastModifiedBy>
  <cp:revision>37</cp:revision>
  <dcterms:created xsi:type="dcterms:W3CDTF">2025-05-28T06:50:00Z</dcterms:created>
  <dcterms:modified xsi:type="dcterms:W3CDTF">2025-05-28T08:08:00Z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2025-05-28T06:50:41Z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2a26373d-7fa8-4d57-ba88-14eba16eeace</vt:lpwstr>
  </property>
  <property fmtid="{D5CDD505-2E9C-101B-9397-08002B2CF9AE}" pid="8" name="MSIP_Label_b3564849-fbfc-4795-ad59-055bb350645f_ContentBits">
    <vt:lpwstr>0</vt:lpwstr>
  </property>
</Properties>
</file>