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906CD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  <w:b/>
          <w:spacing w:val="40"/>
          <w:sz w:val="28"/>
          <w:szCs w:val="28"/>
        </w:rPr>
      </w:pPr>
      <w:r w:rsidRPr="0062486B">
        <w:rPr>
          <w:rFonts w:ascii="Arial" w:hAnsi="Arial" w:cs="Arial"/>
          <w:b/>
          <w:spacing w:val="40"/>
          <w:sz w:val="28"/>
          <w:szCs w:val="28"/>
        </w:rPr>
        <w:t>Metodický materiál</w:t>
      </w:r>
    </w:p>
    <w:p w14:paraId="1786A258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2486B">
        <w:rPr>
          <w:rFonts w:ascii="Arial" w:hAnsi="Arial" w:cs="Arial"/>
          <w:b/>
          <w:sz w:val="28"/>
          <w:szCs w:val="28"/>
        </w:rPr>
        <w:t>odboru veřejné správy, dozoru a kontroly Ministerstva vnitra</w:t>
      </w:r>
    </w:p>
    <w:p w14:paraId="230EC277" w14:textId="77777777" w:rsidR="006A579C" w:rsidRPr="0062486B" w:rsidRDefault="006A579C" w:rsidP="00CF08FF">
      <w:pPr>
        <w:spacing w:line="276" w:lineRule="auto"/>
        <w:jc w:val="center"/>
        <w:rPr>
          <w:rFonts w:ascii="Arial" w:hAnsi="Arial" w:cs="Arial"/>
        </w:rPr>
      </w:pPr>
    </w:p>
    <w:p w14:paraId="0847276D" w14:textId="43E92836" w:rsidR="002979FD" w:rsidRDefault="00DA3552" w:rsidP="0000436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00B0F0"/>
          <w:sz w:val="26"/>
          <w:szCs w:val="26"/>
        </w:rPr>
      </w:pPr>
      <w:r w:rsidRPr="00DA3552">
        <w:rPr>
          <w:rFonts w:ascii="Arial" w:hAnsi="Arial" w:cs="Arial"/>
          <w:b/>
          <w:color w:val="00B0F0"/>
          <w:sz w:val="26"/>
          <w:szCs w:val="26"/>
        </w:rPr>
        <w:t>Vzor</w:t>
      </w:r>
      <w:r w:rsidR="00150FF7">
        <w:rPr>
          <w:rFonts w:ascii="Arial" w:hAnsi="Arial" w:cs="Arial"/>
          <w:b/>
          <w:color w:val="00B0F0"/>
          <w:sz w:val="26"/>
          <w:szCs w:val="26"/>
        </w:rPr>
        <w:t>y</w:t>
      </w:r>
      <w:r w:rsidRPr="00DA3552">
        <w:rPr>
          <w:rFonts w:ascii="Arial" w:hAnsi="Arial" w:cs="Arial"/>
          <w:b/>
          <w:color w:val="00B0F0"/>
          <w:sz w:val="26"/>
          <w:szCs w:val="26"/>
        </w:rPr>
        <w:t xml:space="preserve"> obecně závazn</w:t>
      </w:r>
      <w:r w:rsidR="00150FF7">
        <w:rPr>
          <w:rFonts w:ascii="Arial" w:hAnsi="Arial" w:cs="Arial"/>
          <w:b/>
          <w:color w:val="00B0F0"/>
          <w:sz w:val="26"/>
          <w:szCs w:val="26"/>
        </w:rPr>
        <w:t>ých</w:t>
      </w:r>
      <w:r w:rsidRPr="00DA3552">
        <w:rPr>
          <w:rFonts w:ascii="Arial" w:hAnsi="Arial" w:cs="Arial"/>
          <w:b/>
          <w:color w:val="00B0F0"/>
          <w:sz w:val="26"/>
          <w:szCs w:val="26"/>
        </w:rPr>
        <w:t xml:space="preserve"> vyhláš</w:t>
      </w:r>
      <w:r w:rsidR="00150FF7">
        <w:rPr>
          <w:rFonts w:ascii="Arial" w:hAnsi="Arial" w:cs="Arial"/>
          <w:b/>
          <w:color w:val="00B0F0"/>
          <w:sz w:val="26"/>
          <w:szCs w:val="26"/>
        </w:rPr>
        <w:t>ek</w:t>
      </w:r>
      <w:r w:rsidRPr="00DA3552">
        <w:rPr>
          <w:rFonts w:ascii="Arial" w:hAnsi="Arial" w:cs="Arial"/>
          <w:b/>
          <w:color w:val="00B0F0"/>
          <w:sz w:val="26"/>
          <w:szCs w:val="26"/>
        </w:rPr>
        <w:t xml:space="preserve"> obc</w:t>
      </w:r>
      <w:r w:rsidR="00150FF7">
        <w:rPr>
          <w:rFonts w:ascii="Arial" w:hAnsi="Arial" w:cs="Arial"/>
          <w:b/>
          <w:color w:val="00B0F0"/>
          <w:sz w:val="26"/>
          <w:szCs w:val="26"/>
        </w:rPr>
        <w:t>í</w:t>
      </w:r>
      <w:r w:rsidR="001A7DC7">
        <w:rPr>
          <w:rFonts w:ascii="Arial" w:hAnsi="Arial" w:cs="Arial"/>
          <w:b/>
          <w:color w:val="00B0F0"/>
          <w:sz w:val="26"/>
          <w:szCs w:val="26"/>
        </w:rPr>
        <w:br/>
      </w:r>
      <w:r w:rsidR="00150FF7">
        <w:rPr>
          <w:rFonts w:ascii="Arial" w:hAnsi="Arial" w:cs="Arial"/>
          <w:b/>
          <w:color w:val="00B0F0"/>
          <w:sz w:val="26"/>
          <w:szCs w:val="26"/>
        </w:rPr>
        <w:t>upravujících koeficienty daně z nemovitých věcí</w:t>
      </w:r>
    </w:p>
    <w:p w14:paraId="5A12808A" w14:textId="136BB21D" w:rsidR="00150FF7" w:rsidRPr="006478DD" w:rsidRDefault="006478DD" w:rsidP="0000436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Cs/>
          <w:i/>
          <w:iCs/>
          <w:color w:val="FF0000"/>
        </w:rPr>
      </w:pPr>
      <w:r>
        <w:rPr>
          <w:rFonts w:ascii="Arial" w:hAnsi="Arial" w:cs="Arial"/>
          <w:bCs/>
          <w:i/>
          <w:iCs/>
          <w:color w:val="FF0000"/>
        </w:rPr>
        <w:t>V</w:t>
      </w:r>
      <w:r w:rsidR="00150FF7" w:rsidRPr="006478DD">
        <w:rPr>
          <w:rFonts w:ascii="Arial" w:hAnsi="Arial" w:cs="Arial"/>
          <w:bCs/>
          <w:i/>
          <w:iCs/>
          <w:color w:val="FF0000"/>
        </w:rPr>
        <w:t xml:space="preserve">erze </w:t>
      </w:r>
      <w:r w:rsidR="00A105FA" w:rsidRPr="006478DD">
        <w:rPr>
          <w:rFonts w:ascii="Arial" w:hAnsi="Arial" w:cs="Arial"/>
          <w:bCs/>
          <w:i/>
          <w:iCs/>
          <w:color w:val="FF0000"/>
        </w:rPr>
        <w:t xml:space="preserve">vzorů </w:t>
      </w:r>
      <w:r>
        <w:rPr>
          <w:rFonts w:ascii="Arial" w:hAnsi="Arial" w:cs="Arial"/>
          <w:bCs/>
          <w:i/>
          <w:iCs/>
          <w:color w:val="FF0000"/>
        </w:rPr>
        <w:t xml:space="preserve">určená všem obcím s výjimkou </w:t>
      </w:r>
      <w:r w:rsidR="00E40370">
        <w:rPr>
          <w:rFonts w:ascii="Arial" w:hAnsi="Arial" w:cs="Arial"/>
          <w:bCs/>
          <w:i/>
          <w:iCs/>
          <w:color w:val="FF0000"/>
        </w:rPr>
        <w:t xml:space="preserve">územně členěných </w:t>
      </w:r>
      <w:r>
        <w:rPr>
          <w:rFonts w:ascii="Arial" w:hAnsi="Arial" w:cs="Arial"/>
          <w:bCs/>
          <w:i/>
          <w:iCs/>
          <w:color w:val="FF0000"/>
        </w:rPr>
        <w:t>statutárních měst</w:t>
      </w:r>
    </w:p>
    <w:p w14:paraId="2CC02C0F" w14:textId="77777777" w:rsidR="00DA3552" w:rsidRDefault="00DA3552" w:rsidP="00DA3552">
      <w:pPr>
        <w:pBdr>
          <w:bottom w:val="single" w:sz="4" w:space="1" w:color="auto"/>
        </w:pBdr>
        <w:spacing w:line="276" w:lineRule="auto"/>
        <w:rPr>
          <w:rFonts w:ascii="Arial" w:hAnsi="Arial" w:cs="Arial"/>
          <w:b/>
          <w:color w:val="00B0F0"/>
          <w:sz w:val="26"/>
          <w:szCs w:val="26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25150524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366FC69" w14:textId="77777777" w:rsidR="00671821" w:rsidRPr="00CB3B68" w:rsidRDefault="00671821" w:rsidP="00671821">
          <w:pPr>
            <w:pStyle w:val="Nadpisobsahu"/>
            <w:rPr>
              <w:rFonts w:cs="Arial"/>
              <w:b w:val="0"/>
              <w:bCs/>
            </w:rPr>
          </w:pPr>
          <w:r w:rsidRPr="00CB3B68">
            <w:rPr>
              <w:rFonts w:cs="Arial"/>
              <w:bCs/>
            </w:rPr>
            <w:t>Obsah</w:t>
          </w:r>
        </w:p>
        <w:p w14:paraId="6C0840CD" w14:textId="4E79C69C" w:rsidR="007F3121" w:rsidRDefault="00671821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 w:rsidRPr="00CB3B68">
            <w:rPr>
              <w:rFonts w:ascii="Arial" w:hAnsi="Arial" w:cs="Arial"/>
              <w:b/>
              <w:bCs/>
            </w:rPr>
            <w:fldChar w:fldCharType="begin"/>
          </w:r>
          <w:r w:rsidRPr="00CB3B68">
            <w:rPr>
              <w:rFonts w:ascii="Arial" w:hAnsi="Arial" w:cs="Arial"/>
              <w:b/>
              <w:bCs/>
            </w:rPr>
            <w:instrText xml:space="preserve"> TOC \o "1-3" \h \z \u </w:instrText>
          </w:r>
          <w:r w:rsidRPr="00CB3B68">
            <w:rPr>
              <w:rFonts w:ascii="Arial" w:hAnsi="Arial" w:cs="Arial"/>
              <w:b/>
              <w:bCs/>
            </w:rPr>
            <w:fldChar w:fldCharType="separate"/>
          </w:r>
          <w:hyperlink w:anchor="_Toc159412608" w:history="1">
            <w:r w:rsidR="007F3121" w:rsidRPr="005464E7">
              <w:rPr>
                <w:rStyle w:val="Hypertextovodkaz"/>
                <w:noProof/>
              </w:rPr>
              <w:t>Varianta 1 – Základní vzor obecně závazné vyhlášky obce, kterou se stanoví místní koeficient pro obec</w:t>
            </w:r>
            <w:r w:rsidR="007F3121">
              <w:rPr>
                <w:noProof/>
                <w:webHidden/>
              </w:rPr>
              <w:tab/>
            </w:r>
            <w:r w:rsidR="007F3121">
              <w:rPr>
                <w:noProof/>
                <w:webHidden/>
              </w:rPr>
              <w:fldChar w:fldCharType="begin"/>
            </w:r>
            <w:r w:rsidR="007F3121">
              <w:rPr>
                <w:noProof/>
                <w:webHidden/>
              </w:rPr>
              <w:instrText xml:space="preserve"> PAGEREF _Toc159412608 \h </w:instrText>
            </w:r>
            <w:r w:rsidR="007F3121">
              <w:rPr>
                <w:noProof/>
                <w:webHidden/>
              </w:rPr>
            </w:r>
            <w:r w:rsidR="007F3121">
              <w:rPr>
                <w:noProof/>
                <w:webHidden/>
              </w:rPr>
              <w:fldChar w:fldCharType="separate"/>
            </w:r>
            <w:r w:rsidR="007F3121">
              <w:rPr>
                <w:noProof/>
                <w:webHidden/>
              </w:rPr>
              <w:t>2</w:t>
            </w:r>
            <w:r w:rsidR="007F3121">
              <w:rPr>
                <w:noProof/>
                <w:webHidden/>
              </w:rPr>
              <w:fldChar w:fldCharType="end"/>
            </w:r>
          </w:hyperlink>
        </w:p>
        <w:p w14:paraId="13AAD696" w14:textId="21304BBE" w:rsidR="007F3121" w:rsidRDefault="00A313A6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2609" w:history="1">
            <w:r w:rsidR="007F3121" w:rsidRPr="005464E7">
              <w:rPr>
                <w:rStyle w:val="Hypertextovodkaz"/>
                <w:noProof/>
              </w:rPr>
              <w:t>Varianta 2 – Základní vzor obecně závazné vyhlášky obce, kterou se stanoví místní koeficient pro jednotlivé katastrální území</w:t>
            </w:r>
            <w:r w:rsidR="007F3121">
              <w:rPr>
                <w:noProof/>
                <w:webHidden/>
              </w:rPr>
              <w:tab/>
            </w:r>
            <w:r w:rsidR="007F3121">
              <w:rPr>
                <w:noProof/>
                <w:webHidden/>
              </w:rPr>
              <w:fldChar w:fldCharType="begin"/>
            </w:r>
            <w:r w:rsidR="007F3121">
              <w:rPr>
                <w:noProof/>
                <w:webHidden/>
              </w:rPr>
              <w:instrText xml:space="preserve"> PAGEREF _Toc159412609 \h </w:instrText>
            </w:r>
            <w:r w:rsidR="007F3121">
              <w:rPr>
                <w:noProof/>
                <w:webHidden/>
              </w:rPr>
            </w:r>
            <w:r w:rsidR="007F3121">
              <w:rPr>
                <w:noProof/>
                <w:webHidden/>
              </w:rPr>
              <w:fldChar w:fldCharType="separate"/>
            </w:r>
            <w:r w:rsidR="007F3121">
              <w:rPr>
                <w:noProof/>
                <w:webHidden/>
              </w:rPr>
              <w:t>4</w:t>
            </w:r>
            <w:r w:rsidR="007F3121">
              <w:rPr>
                <w:noProof/>
                <w:webHidden/>
              </w:rPr>
              <w:fldChar w:fldCharType="end"/>
            </w:r>
          </w:hyperlink>
        </w:p>
        <w:p w14:paraId="1BF6F15E" w14:textId="5FB434F8" w:rsidR="007F3121" w:rsidRDefault="00A313A6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2610" w:history="1">
            <w:r w:rsidR="007F3121" w:rsidRPr="005464E7">
              <w:rPr>
                <w:rStyle w:val="Hypertextovodkaz"/>
                <w:noProof/>
              </w:rPr>
              <w:t>Varianta 3 – Základní vzor obecně závazné vyhlášky obce, kterou se stanoví místní koeficient pro jednotlivou skupinu nemovitých věcí</w:t>
            </w:r>
            <w:r w:rsidR="007F3121">
              <w:rPr>
                <w:noProof/>
                <w:webHidden/>
              </w:rPr>
              <w:tab/>
            </w:r>
            <w:r w:rsidR="007F3121">
              <w:rPr>
                <w:noProof/>
                <w:webHidden/>
              </w:rPr>
              <w:fldChar w:fldCharType="begin"/>
            </w:r>
            <w:r w:rsidR="007F3121">
              <w:rPr>
                <w:noProof/>
                <w:webHidden/>
              </w:rPr>
              <w:instrText xml:space="preserve"> PAGEREF _Toc159412610 \h </w:instrText>
            </w:r>
            <w:r w:rsidR="007F3121">
              <w:rPr>
                <w:noProof/>
                <w:webHidden/>
              </w:rPr>
            </w:r>
            <w:r w:rsidR="007F3121">
              <w:rPr>
                <w:noProof/>
                <w:webHidden/>
              </w:rPr>
              <w:fldChar w:fldCharType="separate"/>
            </w:r>
            <w:r w:rsidR="007F3121">
              <w:rPr>
                <w:noProof/>
                <w:webHidden/>
              </w:rPr>
              <w:t>6</w:t>
            </w:r>
            <w:r w:rsidR="007F3121">
              <w:rPr>
                <w:noProof/>
                <w:webHidden/>
              </w:rPr>
              <w:fldChar w:fldCharType="end"/>
            </w:r>
          </w:hyperlink>
        </w:p>
        <w:p w14:paraId="6B965174" w14:textId="6CCCF239" w:rsidR="007F3121" w:rsidRDefault="00A313A6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2611" w:history="1">
            <w:r w:rsidR="007F3121" w:rsidRPr="005464E7">
              <w:rPr>
                <w:rStyle w:val="Hypertextovodkaz"/>
                <w:noProof/>
              </w:rPr>
              <w:t>Varianta 4 – Kombinovaný vzor obecně závazné vyhlášky obce, kterou se stanoví místní koeficienty (kombinace všech druhů místních koeficientů stanovovaných vyhláškou)</w:t>
            </w:r>
            <w:r w:rsidR="007F3121">
              <w:rPr>
                <w:noProof/>
                <w:webHidden/>
              </w:rPr>
              <w:tab/>
            </w:r>
            <w:r w:rsidR="007F3121">
              <w:rPr>
                <w:noProof/>
                <w:webHidden/>
              </w:rPr>
              <w:fldChar w:fldCharType="begin"/>
            </w:r>
            <w:r w:rsidR="007F3121">
              <w:rPr>
                <w:noProof/>
                <w:webHidden/>
              </w:rPr>
              <w:instrText xml:space="preserve"> PAGEREF _Toc159412611 \h </w:instrText>
            </w:r>
            <w:r w:rsidR="007F3121">
              <w:rPr>
                <w:noProof/>
                <w:webHidden/>
              </w:rPr>
            </w:r>
            <w:r w:rsidR="007F3121">
              <w:rPr>
                <w:noProof/>
                <w:webHidden/>
              </w:rPr>
              <w:fldChar w:fldCharType="separate"/>
            </w:r>
            <w:r w:rsidR="007F3121">
              <w:rPr>
                <w:noProof/>
                <w:webHidden/>
              </w:rPr>
              <w:t>9</w:t>
            </w:r>
            <w:r w:rsidR="007F3121">
              <w:rPr>
                <w:noProof/>
                <w:webHidden/>
              </w:rPr>
              <w:fldChar w:fldCharType="end"/>
            </w:r>
          </w:hyperlink>
        </w:p>
        <w:p w14:paraId="00BFB2B9" w14:textId="075D77D6" w:rsidR="007F3121" w:rsidRDefault="00A313A6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2612" w:history="1">
            <w:r w:rsidR="007F3121" w:rsidRPr="005464E7">
              <w:rPr>
                <w:rStyle w:val="Hypertextovodkaz"/>
                <w:noProof/>
              </w:rPr>
              <w:t>Varianta 5 – Vzor obecně závazné vyhlášky obce, kterou se zvyšuje koeficient, jímž se násobí sazba daně u skupiny stavebních pozemků</w:t>
            </w:r>
            <w:r w:rsidR="007F3121">
              <w:rPr>
                <w:noProof/>
                <w:webHidden/>
              </w:rPr>
              <w:tab/>
            </w:r>
            <w:r w:rsidR="007F3121">
              <w:rPr>
                <w:noProof/>
                <w:webHidden/>
              </w:rPr>
              <w:fldChar w:fldCharType="begin"/>
            </w:r>
            <w:r w:rsidR="007F3121">
              <w:rPr>
                <w:noProof/>
                <w:webHidden/>
              </w:rPr>
              <w:instrText xml:space="preserve"> PAGEREF _Toc159412612 \h </w:instrText>
            </w:r>
            <w:r w:rsidR="007F3121">
              <w:rPr>
                <w:noProof/>
                <w:webHidden/>
              </w:rPr>
            </w:r>
            <w:r w:rsidR="007F3121">
              <w:rPr>
                <w:noProof/>
                <w:webHidden/>
              </w:rPr>
              <w:fldChar w:fldCharType="separate"/>
            </w:r>
            <w:r w:rsidR="007F3121">
              <w:rPr>
                <w:noProof/>
                <w:webHidden/>
              </w:rPr>
              <w:t>13</w:t>
            </w:r>
            <w:r w:rsidR="007F3121">
              <w:rPr>
                <w:noProof/>
                <w:webHidden/>
              </w:rPr>
              <w:fldChar w:fldCharType="end"/>
            </w:r>
          </w:hyperlink>
        </w:p>
        <w:p w14:paraId="5538261E" w14:textId="62EA6127" w:rsidR="007F3121" w:rsidRDefault="00A313A6">
          <w:pPr>
            <w:pStyle w:val="Obsah20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2613" w:history="1">
            <w:r w:rsidR="007F3121" w:rsidRPr="005464E7">
              <w:rPr>
                <w:rStyle w:val="Hypertextovodkaz"/>
                <w:noProof/>
              </w:rPr>
              <w:t>Varianta 6 – Vzor obecně závazné vyhlášky obce, kterou se zvyšuje koeficient, jímž se násobí sazba daně u vybraných skupin staveb a jednotek</w:t>
            </w:r>
            <w:r w:rsidR="007F3121">
              <w:rPr>
                <w:noProof/>
                <w:webHidden/>
              </w:rPr>
              <w:tab/>
            </w:r>
            <w:r w:rsidR="007F3121">
              <w:rPr>
                <w:noProof/>
                <w:webHidden/>
              </w:rPr>
              <w:fldChar w:fldCharType="begin"/>
            </w:r>
            <w:r w:rsidR="007F3121">
              <w:rPr>
                <w:noProof/>
                <w:webHidden/>
              </w:rPr>
              <w:instrText xml:space="preserve"> PAGEREF _Toc159412613 \h </w:instrText>
            </w:r>
            <w:r w:rsidR="007F3121">
              <w:rPr>
                <w:noProof/>
                <w:webHidden/>
              </w:rPr>
            </w:r>
            <w:r w:rsidR="007F3121">
              <w:rPr>
                <w:noProof/>
                <w:webHidden/>
              </w:rPr>
              <w:fldChar w:fldCharType="separate"/>
            </w:r>
            <w:r w:rsidR="007F3121">
              <w:rPr>
                <w:noProof/>
                <w:webHidden/>
              </w:rPr>
              <w:t>15</w:t>
            </w:r>
            <w:r w:rsidR="007F3121">
              <w:rPr>
                <w:noProof/>
                <w:webHidden/>
              </w:rPr>
              <w:fldChar w:fldCharType="end"/>
            </w:r>
          </w:hyperlink>
        </w:p>
        <w:p w14:paraId="68662C62" w14:textId="661B2E9B" w:rsidR="00671821" w:rsidRDefault="00671821" w:rsidP="00CB3B68">
          <w:pPr>
            <w:spacing w:after="240"/>
          </w:pPr>
          <w:r w:rsidRPr="00CB3B68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32C197F3" w14:textId="77777777" w:rsidR="00FC423F" w:rsidRDefault="00FC423F" w:rsidP="00004366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color w:val="00B0F0"/>
          <w:sz w:val="26"/>
          <w:szCs w:val="26"/>
        </w:rPr>
      </w:pPr>
    </w:p>
    <w:p w14:paraId="47EF11C7" w14:textId="77777777" w:rsidR="005E1409" w:rsidRDefault="005E1409" w:rsidP="005E1409">
      <w:pPr>
        <w:pStyle w:val="Nadpis1"/>
        <w:rPr>
          <w:b w:val="0"/>
        </w:rPr>
      </w:pPr>
    </w:p>
    <w:p w14:paraId="4DA47000" w14:textId="4D762398" w:rsidR="00462C43" w:rsidRPr="00462C43" w:rsidRDefault="00EC42D9" w:rsidP="00462C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21FA469" w14:textId="00B3D7ED" w:rsidR="00841557" w:rsidRPr="00841557" w:rsidRDefault="0096577E" w:rsidP="00462C43">
      <w:pPr>
        <w:pStyle w:val="Nadpis2"/>
      </w:pPr>
      <w:bookmarkStart w:id="0" w:name="_Toc159412608"/>
      <w:r w:rsidRPr="00CF08FF">
        <w:lastRenderedPageBreak/>
        <w:t>Varianta 1</w:t>
      </w:r>
      <w:r w:rsidR="00F6569D">
        <w:t xml:space="preserve"> </w:t>
      </w:r>
      <w:r w:rsidR="005C4195">
        <w:t>–</w:t>
      </w:r>
      <w:r w:rsidR="00F6569D">
        <w:t xml:space="preserve"> </w:t>
      </w:r>
      <w:r w:rsidR="00964558">
        <w:t>Základní v</w:t>
      </w:r>
      <w:r w:rsidR="00DA3552" w:rsidRPr="00DA3552">
        <w:t>zor obecně závazné vyhlášky obce</w:t>
      </w:r>
      <w:r w:rsidR="00150FF7">
        <w:t>, kterou se stanoví místní koeficient pro obec</w:t>
      </w:r>
      <w:bookmarkEnd w:id="0"/>
    </w:p>
    <w:p w14:paraId="50D28318" w14:textId="77777777" w:rsidR="006A579C" w:rsidRPr="0062486B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(město, městys) …</w:t>
      </w:r>
    </w:p>
    <w:p w14:paraId="36FC08A9" w14:textId="32F30C8A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2B8FB123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56F97760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851874">
        <w:rPr>
          <w:rFonts w:ascii="Arial" w:hAnsi="Arial" w:cs="Arial"/>
          <w:color w:val="00B0F0"/>
        </w:rPr>
        <w:t xml:space="preserve">(města, městyse)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1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579068BE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964558">
        <w:rPr>
          <w:rFonts w:ascii="Arial" w:hAnsi="Arial" w:cs="Arial"/>
        </w:rPr>
        <w:t xml:space="preserve"> </w:t>
      </w:r>
      <w:r w:rsidR="00964558" w:rsidRPr="00964558">
        <w:rPr>
          <w:rFonts w:ascii="Arial" w:hAnsi="Arial" w:cs="Arial"/>
          <w:color w:val="00B0F0"/>
        </w:rPr>
        <w:t>(město, městys)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obec ve výši … </w:t>
      </w:r>
      <w:r w:rsidR="00721420" w:rsidRPr="00462C43">
        <w:rPr>
          <w:rFonts w:ascii="Arial" w:hAnsi="Arial" w:cs="Arial"/>
          <w:i/>
          <w:iCs/>
          <w:color w:val="00B0F0"/>
        </w:rPr>
        <w:t xml:space="preserve">(obec </w:t>
      </w:r>
      <w:r w:rsidRPr="00462C43">
        <w:rPr>
          <w:rFonts w:ascii="Arial" w:hAnsi="Arial" w:cs="Arial"/>
          <w:i/>
          <w:iCs/>
          <w:color w:val="00B0F0"/>
        </w:rPr>
        <w:t xml:space="preserve">zvolí koeficient v rozmezí </w:t>
      </w:r>
      <w:r w:rsidR="00721420" w:rsidRPr="00462C43">
        <w:rPr>
          <w:rFonts w:ascii="Arial" w:hAnsi="Arial" w:cs="Arial"/>
          <w:i/>
          <w:iCs/>
          <w:color w:val="00B0F0"/>
        </w:rPr>
        <w:t xml:space="preserve">od 0,5 </w:t>
      </w:r>
      <w:r w:rsidRPr="00462C43">
        <w:rPr>
          <w:rFonts w:ascii="Arial" w:hAnsi="Arial" w:cs="Arial"/>
          <w:i/>
          <w:iCs/>
          <w:color w:val="00B0F0"/>
        </w:rPr>
        <w:t>do 5,0)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="00F33E1B" w:rsidRPr="00E31DAF">
        <w:rPr>
          <w:rFonts w:ascii="Arial" w:hAnsi="Arial" w:cs="Arial"/>
          <w:color w:val="00B0F0"/>
        </w:rPr>
        <w:t>(celého města, městyse)</w:t>
      </w:r>
      <w:r w:rsidR="00F33E1B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77777777" w:rsidR="000D22C5" w:rsidRPr="0062486B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(města, městyse)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34D6121C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13818C7F" w14:textId="77777777" w:rsidR="00703D3F" w:rsidRPr="0062486B" w:rsidRDefault="00703D3F" w:rsidP="00703D3F">
      <w:pPr>
        <w:spacing w:line="276" w:lineRule="auto"/>
        <w:ind w:firstLine="709"/>
        <w:rPr>
          <w:rFonts w:ascii="Arial" w:hAnsi="Arial" w:cs="Arial"/>
        </w:rPr>
      </w:pPr>
    </w:p>
    <w:p w14:paraId="20C0A7AE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9ED8F83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B359A8">
          <w:footerReference w:type="default" r:id="rId8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49A74B23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31FA608C" w14:textId="77777777" w:rsidR="00351BCA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D56A4BC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FFAC43F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424779C8" w14:textId="071CBF34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462C43">
        <w:rPr>
          <w:rFonts w:ascii="Arial" w:hAnsi="Arial" w:cs="Arial"/>
        </w:rPr>
        <w:t>a</w:t>
      </w:r>
    </w:p>
    <w:p w14:paraId="69251220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p w14:paraId="4E3557DA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6F781431" w14:textId="5C9B2CB4" w:rsidR="00964558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480EE5EF" w14:textId="77777777" w:rsidR="00964558" w:rsidRDefault="00964558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7E97D4EB" w14:textId="5753AE97" w:rsidR="00964558" w:rsidRDefault="00964558" w:rsidP="00964558">
      <w:pPr>
        <w:pStyle w:val="Nadpis2"/>
      </w:pPr>
      <w:bookmarkStart w:id="2" w:name="_Toc159412609"/>
      <w:r w:rsidRPr="00CF08FF">
        <w:lastRenderedPageBreak/>
        <w:t xml:space="preserve">Varianta </w:t>
      </w:r>
      <w:r>
        <w:t>2 – Základní v</w:t>
      </w:r>
      <w:r w:rsidRPr="00DA3552">
        <w:t>zor obecně závazné vyhlášky obce</w:t>
      </w:r>
      <w:r>
        <w:t>, kterou se stanoví místní koeficient pro jednotlivé katastrální území</w:t>
      </w:r>
      <w:bookmarkEnd w:id="2"/>
    </w:p>
    <w:p w14:paraId="1A7A078F" w14:textId="77777777" w:rsidR="00964558" w:rsidRPr="00964558" w:rsidRDefault="00964558" w:rsidP="00964558"/>
    <w:p w14:paraId="21D02612" w14:textId="77777777" w:rsidR="00964558" w:rsidRPr="0062486B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(město, městys) …</w:t>
      </w:r>
    </w:p>
    <w:p w14:paraId="49514D31" w14:textId="77777777" w:rsidR="00964558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4F0B23AC" w14:textId="77777777" w:rsidR="00964558" w:rsidRPr="0062486B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645346" w14:textId="77777777" w:rsidR="00964558" w:rsidRPr="0062486B" w:rsidRDefault="00964558" w:rsidP="0096455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18DBA3CF" w14:textId="6A1E3988" w:rsidR="00964558" w:rsidRDefault="00964558" w:rsidP="009645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katastrální území</w:t>
      </w:r>
    </w:p>
    <w:p w14:paraId="3D280DF2" w14:textId="77777777" w:rsidR="00964558" w:rsidRPr="0062486B" w:rsidRDefault="00964558" w:rsidP="00964558">
      <w:pPr>
        <w:spacing w:line="276" w:lineRule="auto"/>
        <w:jc w:val="center"/>
        <w:rPr>
          <w:rFonts w:ascii="Arial" w:hAnsi="Arial" w:cs="Arial"/>
        </w:rPr>
      </w:pPr>
    </w:p>
    <w:p w14:paraId="44ABDD46" w14:textId="6E248D64" w:rsidR="00964558" w:rsidRDefault="00964558" w:rsidP="00964558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851874">
        <w:rPr>
          <w:rFonts w:ascii="Arial" w:hAnsi="Arial" w:cs="Arial"/>
          <w:color w:val="00B0F0"/>
        </w:rPr>
        <w:t xml:space="preserve">(města, městyse)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</w:t>
      </w:r>
      <w:r w:rsidR="00954256"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</w:t>
      </w:r>
      <w:r w:rsidR="00AB3671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="00AB3671">
        <w:rPr>
          <w:rFonts w:ascii="Arial" w:hAnsi="Arial" w:cs="Arial"/>
        </w:rPr>
        <w:t xml:space="preserve"> bodu 2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>
        <w:rPr>
          <w:rFonts w:ascii="Arial" w:hAnsi="Arial" w:cs="Arial"/>
        </w:rPr>
        <w:t>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0549089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1739A3E6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9517703" w14:textId="2EB597C9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4024368B" w14:textId="3908021C" w:rsidR="00964558" w:rsidRPr="00C22C01" w:rsidRDefault="00964558" w:rsidP="00964558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964558">
        <w:rPr>
          <w:rFonts w:ascii="Arial" w:hAnsi="Arial" w:cs="Arial"/>
          <w:color w:val="00B0F0"/>
        </w:rPr>
        <w:t xml:space="preserve">(město, městys)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84D49A3" w14:textId="585C8E7B" w:rsidR="00964558" w:rsidRPr="00164286" w:rsidRDefault="00964558" w:rsidP="00964558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 w:rsidR="000945A1">
        <w:rPr>
          <w:rFonts w:ascii="Arial" w:hAnsi="Arial" w:cs="Arial"/>
        </w:rPr>
        <w:t xml:space="preserve"> </w:t>
      </w:r>
      <w:r w:rsidR="000945A1" w:rsidRPr="000945A1">
        <w:rPr>
          <w:rFonts w:ascii="Arial" w:hAnsi="Arial" w:cs="Arial"/>
          <w:i/>
          <w:iCs/>
          <w:color w:val="00B0F0"/>
        </w:rPr>
        <w:t>(od 0,5 do 5,0)</w:t>
      </w:r>
      <w:r w:rsidRPr="00164286">
        <w:rPr>
          <w:rFonts w:ascii="Arial" w:hAnsi="Arial" w:cs="Arial"/>
        </w:rPr>
        <w:t>,</w:t>
      </w:r>
    </w:p>
    <w:p w14:paraId="580ED592" w14:textId="5970A2A6" w:rsidR="00964558" w:rsidRPr="00164286" w:rsidRDefault="00964558" w:rsidP="00964558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 w:rsidR="000945A1">
        <w:rPr>
          <w:rFonts w:ascii="Arial" w:hAnsi="Arial" w:cs="Arial"/>
        </w:rPr>
        <w:t xml:space="preserve"> </w:t>
      </w:r>
      <w:r w:rsidR="000945A1" w:rsidRPr="000945A1">
        <w:rPr>
          <w:rFonts w:ascii="Arial" w:hAnsi="Arial" w:cs="Arial"/>
          <w:i/>
          <w:iCs/>
          <w:color w:val="00B0F0"/>
        </w:rPr>
        <w:t>(od 0,5 do 5,0</w:t>
      </w:r>
      <w:r w:rsidR="000945A1">
        <w:rPr>
          <w:rFonts w:ascii="Arial" w:hAnsi="Arial" w:cs="Arial"/>
          <w:i/>
          <w:iCs/>
          <w:color w:val="00B0F0"/>
        </w:rPr>
        <w:t>)</w:t>
      </w:r>
      <w:r w:rsidRPr="00164286">
        <w:rPr>
          <w:rFonts w:ascii="Arial" w:hAnsi="Arial" w:cs="Arial"/>
        </w:rPr>
        <w:t>,</w:t>
      </w:r>
    </w:p>
    <w:p w14:paraId="4C241655" w14:textId="2CBFBD80" w:rsidR="00964558" w:rsidRDefault="000945A1" w:rsidP="00964558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="00964558" w:rsidRPr="00164286">
        <w:rPr>
          <w:rFonts w:ascii="Arial" w:hAnsi="Arial" w:cs="Arial"/>
        </w:rPr>
        <w:tab/>
      </w:r>
      <w:r w:rsidR="00964558" w:rsidRPr="00164286">
        <w:rPr>
          <w:rFonts w:ascii="Arial" w:hAnsi="Arial" w:cs="Arial"/>
        </w:rPr>
        <w:tab/>
      </w:r>
      <w:r w:rsidR="00964558"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 w:rsidR="00964558">
        <w:rPr>
          <w:rFonts w:ascii="Arial" w:hAnsi="Arial" w:cs="Arial"/>
        </w:rPr>
        <w:t>,</w:t>
      </w:r>
    </w:p>
    <w:p w14:paraId="1F79A1FC" w14:textId="69633AE6" w:rsidR="00964558" w:rsidRDefault="00964558" w:rsidP="00964558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4D9EDF1E" w14:textId="2A91EAB2" w:rsidR="000945A1" w:rsidRDefault="000945A1" w:rsidP="000945A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Poznámka</w:t>
      </w:r>
      <w:r w:rsidR="009234F2">
        <w:rPr>
          <w:rFonts w:ascii="Arial" w:hAnsi="Arial" w:cs="Arial"/>
          <w:i/>
          <w:color w:val="00B0F0"/>
          <w:sz w:val="20"/>
          <w:szCs w:val="20"/>
        </w:rPr>
        <w:t>: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obce nemohou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obecně závaznou vyhláškou stanovovat místní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koeficient pro variabilně vymezené území, ale toliko pro jednotlivá katastrální území, která musí být jednoznačně označena jejich názvem (lze případně doplnit i kód katastrálního území). Nadále tedy není možné předmětný koeficient upravovat pro „části obce“ ve smyslu § 27 odst. 2 zákona o obcích (místní části, osady) označené jejich názvy, pro konkrétní ulice či pro jiným způsobem vymezené lokality.</w:t>
      </w:r>
    </w:p>
    <w:p w14:paraId="456F7B74" w14:textId="0E5C29C3" w:rsidR="0061583F" w:rsidRDefault="000945A1" w:rsidP="000945A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Má-li obec zájem stanovit místní koeficient pro jiný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subcelek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než je katastrální území, případně pro konkrétně označené nemovité věci, </w:t>
      </w:r>
      <w:r w:rsidR="0061583F">
        <w:rPr>
          <w:rFonts w:ascii="Arial" w:hAnsi="Arial" w:cs="Arial"/>
          <w:i/>
          <w:color w:val="00B0F0"/>
          <w:sz w:val="20"/>
          <w:szCs w:val="20"/>
        </w:rPr>
        <w:t xml:space="preserve">může za tímto účelem na základě § 12 odst. </w:t>
      </w:r>
      <w:r w:rsidR="00AB3671">
        <w:rPr>
          <w:rFonts w:ascii="Arial" w:hAnsi="Arial" w:cs="Arial"/>
          <w:i/>
          <w:color w:val="00B0F0"/>
          <w:sz w:val="20"/>
          <w:szCs w:val="20"/>
        </w:rPr>
        <w:t>odst. 1 písm. b)</w:t>
      </w:r>
      <w:r w:rsidR="0061583F">
        <w:rPr>
          <w:rFonts w:ascii="Arial" w:hAnsi="Arial" w:cs="Arial"/>
          <w:i/>
          <w:color w:val="00B0F0"/>
          <w:sz w:val="20"/>
          <w:szCs w:val="20"/>
        </w:rPr>
        <w:t xml:space="preserve"> zákona o dani z nemovitých věcí</w:t>
      </w:r>
      <w:r w:rsidR="00A9426D">
        <w:rPr>
          <w:rFonts w:ascii="Arial" w:hAnsi="Arial" w:cs="Arial"/>
          <w:i/>
          <w:color w:val="00B0F0"/>
          <w:sz w:val="20"/>
          <w:szCs w:val="20"/>
        </w:rPr>
        <w:t xml:space="preserve"> přistoupit k vydání</w:t>
      </w:r>
      <w:r w:rsidR="0061583F">
        <w:rPr>
          <w:rFonts w:ascii="Arial" w:hAnsi="Arial" w:cs="Arial"/>
          <w:i/>
          <w:color w:val="00B0F0"/>
          <w:sz w:val="20"/>
          <w:szCs w:val="20"/>
        </w:rPr>
        <w:t xml:space="preserve"> opatření obecné povahy, kterým stanoví místní koeficient pro </w:t>
      </w:r>
      <w:r w:rsidR="00A9426D">
        <w:rPr>
          <w:rFonts w:ascii="Arial" w:hAnsi="Arial" w:cs="Arial"/>
          <w:i/>
          <w:color w:val="00B0F0"/>
          <w:sz w:val="20"/>
          <w:szCs w:val="20"/>
        </w:rPr>
        <w:t>tzv. „</w:t>
      </w:r>
      <w:r w:rsidR="0061583F">
        <w:rPr>
          <w:rFonts w:ascii="Arial" w:hAnsi="Arial" w:cs="Arial"/>
          <w:i/>
          <w:color w:val="00B0F0"/>
          <w:sz w:val="20"/>
          <w:szCs w:val="20"/>
        </w:rPr>
        <w:t>vymezené nemovité věci</w:t>
      </w:r>
      <w:r w:rsidR="00A9426D">
        <w:rPr>
          <w:rFonts w:ascii="Arial" w:hAnsi="Arial" w:cs="Arial"/>
          <w:i/>
          <w:color w:val="00B0F0"/>
          <w:sz w:val="20"/>
          <w:szCs w:val="20"/>
        </w:rPr>
        <w:t>“</w:t>
      </w:r>
      <w:r w:rsidR="0061583F">
        <w:rPr>
          <w:rFonts w:ascii="Arial" w:hAnsi="Arial" w:cs="Arial"/>
          <w:i/>
          <w:color w:val="00B0F0"/>
          <w:sz w:val="20"/>
          <w:szCs w:val="20"/>
        </w:rPr>
        <w:t xml:space="preserve">. </w:t>
      </w:r>
    </w:p>
    <w:p w14:paraId="54476567" w14:textId="3CA93C48" w:rsidR="000945A1" w:rsidRPr="000945A1" w:rsidRDefault="0061583F" w:rsidP="000945A1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Má-li obec zájem stanovit místní koeficient pouze pro </w:t>
      </w:r>
      <w:r w:rsidR="00A9426D">
        <w:rPr>
          <w:rFonts w:ascii="Arial" w:hAnsi="Arial" w:cs="Arial"/>
          <w:i/>
          <w:color w:val="00B0F0"/>
          <w:sz w:val="20"/>
          <w:szCs w:val="20"/>
        </w:rPr>
        <w:t xml:space="preserve">celé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skupiny nemovitých věcí (např. skupinu zdanitelných staveb a jednotek pro podnikání v průmyslu, stavebnictví, dopravě, energetice nebo ostatní zemědělské výrobě), může tak učinit obecně závaznou vyhláškou </w:t>
      </w:r>
      <w:r w:rsidR="00A9426D">
        <w:rPr>
          <w:rFonts w:ascii="Arial" w:hAnsi="Arial" w:cs="Arial"/>
          <w:i/>
          <w:color w:val="00B0F0"/>
          <w:sz w:val="20"/>
          <w:szCs w:val="20"/>
        </w:rPr>
        <w:t xml:space="preserve">vydanou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na základě zmocnění obsaženého v § 12 odst. 1 písm. a) bodu 4 zákona o dani z nemovitých věcí, viz varianta </w:t>
      </w:r>
      <w:r w:rsidR="00291B07">
        <w:rPr>
          <w:rFonts w:ascii="Arial" w:hAnsi="Arial" w:cs="Arial"/>
          <w:i/>
          <w:color w:val="00B0F0"/>
          <w:sz w:val="20"/>
          <w:szCs w:val="20"/>
        </w:rPr>
        <w:t xml:space="preserve">č. </w:t>
      </w:r>
      <w:r>
        <w:rPr>
          <w:rFonts w:ascii="Arial" w:hAnsi="Arial" w:cs="Arial"/>
          <w:i/>
          <w:color w:val="00B0F0"/>
          <w:sz w:val="20"/>
          <w:szCs w:val="20"/>
        </w:rPr>
        <w:t>3 vzoru obecně závazné vyhlášky.</w:t>
      </w:r>
    </w:p>
    <w:p w14:paraId="1ED774EE" w14:textId="77777777" w:rsidR="000945A1" w:rsidRPr="000945A1" w:rsidRDefault="000945A1" w:rsidP="000945A1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54F7A5D" w14:textId="4719C417" w:rsidR="00964558" w:rsidRPr="000945A1" w:rsidRDefault="00964558" w:rsidP="000945A1">
      <w:pPr>
        <w:pStyle w:val="Odstavecseseznamem"/>
        <w:numPr>
          <w:ilvl w:val="0"/>
          <w:numId w:val="2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lastRenderedPageBreak/>
        <w:t xml:space="preserve">Tento místní koeficient se vztahuje na všechny nemovité věci na území </w:t>
      </w:r>
      <w:r w:rsidR="000945A1"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2"/>
      </w:r>
    </w:p>
    <w:p w14:paraId="35163E8B" w14:textId="77777777" w:rsidR="00964558" w:rsidRPr="00841557" w:rsidRDefault="00964558" w:rsidP="00964558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316A1E88" w14:textId="77777777" w:rsidR="00964558" w:rsidRPr="005F7FAE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F221E8C" w14:textId="77777777" w:rsidR="00964558" w:rsidRPr="005F7FAE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AFAC436" w14:textId="77777777" w:rsidR="00964558" w:rsidRPr="0062486B" w:rsidRDefault="00964558" w:rsidP="009645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(města, městyse)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31464647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7002D29A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75662B8" w14:textId="77777777" w:rsidR="00964558" w:rsidRDefault="00964558" w:rsidP="00964558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8160197" w14:textId="77777777" w:rsidR="00964558" w:rsidRDefault="00964558" w:rsidP="00964558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4F47C20A" w14:textId="77777777" w:rsidR="00964558" w:rsidRDefault="00964558" w:rsidP="00964558">
      <w:pPr>
        <w:spacing w:line="276" w:lineRule="auto"/>
        <w:rPr>
          <w:rFonts w:ascii="Arial" w:hAnsi="Arial" w:cs="Arial"/>
        </w:rPr>
      </w:pPr>
    </w:p>
    <w:p w14:paraId="0EEBDEB7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09CBC73C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</w:pPr>
    </w:p>
    <w:p w14:paraId="69A6F77A" w14:textId="77777777" w:rsidR="00964558" w:rsidRPr="0062486B" w:rsidRDefault="00964558" w:rsidP="00964558">
      <w:pPr>
        <w:spacing w:line="276" w:lineRule="auto"/>
        <w:rPr>
          <w:rFonts w:ascii="Arial" w:hAnsi="Arial" w:cs="Arial"/>
        </w:rPr>
        <w:sectPr w:rsidR="00964558" w:rsidRPr="0062486B" w:rsidSect="00F33E1B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4570E361" w14:textId="77777777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6CFD4D6" w14:textId="77777777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3E24CBFE" w14:textId="77777777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4B2963C" w14:textId="77777777" w:rsidR="00964558" w:rsidRPr="0062486B" w:rsidRDefault="00964558" w:rsidP="009645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723A2FCB" w14:textId="77777777" w:rsidR="00964558" w:rsidRPr="0062486B" w:rsidRDefault="00964558" w:rsidP="00964558">
      <w:pPr>
        <w:spacing w:line="276" w:lineRule="auto"/>
        <w:jc w:val="center"/>
        <w:rPr>
          <w:rFonts w:ascii="Arial" w:hAnsi="Arial" w:cs="Arial"/>
        </w:rPr>
        <w:sectPr w:rsidR="00964558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3D488132" w14:textId="77777777" w:rsidR="00964558" w:rsidRPr="005F7FAE" w:rsidRDefault="00964558" w:rsidP="00964558">
      <w:pPr>
        <w:spacing w:line="276" w:lineRule="auto"/>
        <w:rPr>
          <w:rFonts w:ascii="Arial" w:hAnsi="Arial" w:cs="Arial"/>
        </w:rPr>
      </w:pPr>
    </w:p>
    <w:p w14:paraId="21913E26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5C09E942" w14:textId="50281F09" w:rsidR="00A9426D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2E3B7822" w14:textId="77777777" w:rsidR="00A9426D" w:rsidRDefault="00A9426D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3A7C7E5A" w14:textId="3C834A09" w:rsidR="00A9426D" w:rsidRDefault="00A9426D" w:rsidP="00A9426D">
      <w:pPr>
        <w:pStyle w:val="Nadpis2"/>
      </w:pPr>
      <w:bookmarkStart w:id="3" w:name="_Toc159412610"/>
      <w:r w:rsidRPr="00CF08FF">
        <w:lastRenderedPageBreak/>
        <w:t xml:space="preserve">Varianta </w:t>
      </w:r>
      <w:r>
        <w:t>3 – Základní v</w:t>
      </w:r>
      <w:r w:rsidRPr="00DA3552">
        <w:t>zor obecně závazné vyhlášky obce</w:t>
      </w:r>
      <w:r>
        <w:t>, kterou se stanoví místní koeficient pro jednotlivou skupinu nemovitých věcí</w:t>
      </w:r>
      <w:bookmarkEnd w:id="3"/>
    </w:p>
    <w:p w14:paraId="55081FE8" w14:textId="2C0C08BB" w:rsidR="00A9426D" w:rsidRDefault="00A9426D" w:rsidP="00A9426D"/>
    <w:p w14:paraId="64B7A89A" w14:textId="77777777" w:rsidR="00AF0ECA" w:rsidRPr="00964558" w:rsidRDefault="00AF0ECA" w:rsidP="00A9426D"/>
    <w:p w14:paraId="33BCDF9F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(město, městys) …</w:t>
      </w:r>
    </w:p>
    <w:p w14:paraId="6FDBB684" w14:textId="77777777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2E178D0D" w:rsidR="00A9426D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851874">
        <w:rPr>
          <w:rFonts w:ascii="Arial" w:hAnsi="Arial" w:cs="Arial"/>
          <w:color w:val="00B0F0"/>
        </w:rPr>
        <w:t xml:space="preserve">(města, městyse)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1D16ABB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79D8A82B" w:rsidR="00A9426D" w:rsidRPr="00C22C01" w:rsidRDefault="00A9426D" w:rsidP="00A9426D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964558">
        <w:rPr>
          <w:rFonts w:ascii="Arial" w:hAnsi="Arial" w:cs="Arial"/>
          <w:color w:val="00B0F0"/>
        </w:rPr>
        <w:t xml:space="preserve">(město, městys) </w:t>
      </w:r>
      <w:r>
        <w:rPr>
          <w:rFonts w:ascii="Arial" w:hAnsi="Arial" w:cs="Arial"/>
        </w:rPr>
        <w:t>stanovuje místní koeficient pro jednotlivé skupiny pozemků</w:t>
      </w:r>
      <w:r w:rsidR="009002A6">
        <w:rPr>
          <w:rFonts w:ascii="Arial" w:hAnsi="Arial" w:cs="Arial"/>
        </w:rPr>
        <w:t xml:space="preserve"> dle § 5a odst. 1 zákona o dani z nemovitých věcí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16C8831" w14:textId="694403D2" w:rsidR="00A9426D" w:rsidRPr="009002A6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bookmarkStart w:id="4" w:name="_Hlk159331772"/>
      <w:bookmarkStart w:id="5" w:name="_Hlk159331753"/>
      <w:r w:rsidRPr="009002A6">
        <w:rPr>
          <w:rFonts w:ascii="Arial" w:hAnsi="Arial" w:cs="Arial"/>
          <w:color w:val="00B0F0"/>
        </w:rPr>
        <w:t>vybrané zemědělské pozemky</w:t>
      </w:r>
      <w:r w:rsidR="00D9388E" w:rsidRPr="009002A6">
        <w:rPr>
          <w:rFonts w:ascii="Arial" w:hAnsi="Arial" w:cs="Arial"/>
          <w:color w:val="00B0F0"/>
        </w:rPr>
        <w:t xml:space="preserve"> 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815D15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 w:rsidR="009002A6">
        <w:rPr>
          <w:rFonts w:ascii="Arial" w:hAnsi="Arial" w:cs="Arial"/>
          <w:i/>
          <w:iCs/>
          <w:color w:val="00B0F0"/>
        </w:rPr>
        <w:t>1</w:t>
      </w:r>
      <w:r w:rsidRPr="009002A6">
        <w:rPr>
          <w:rFonts w:ascii="Arial" w:hAnsi="Arial" w:cs="Arial"/>
          <w:i/>
          <w:iCs/>
          <w:color w:val="00B0F0"/>
        </w:rPr>
        <w:t>,</w:t>
      </w:r>
      <w:r w:rsidR="009002A6">
        <w:rPr>
          <w:rFonts w:ascii="Arial" w:hAnsi="Arial" w:cs="Arial"/>
          <w:i/>
          <w:iCs/>
          <w:color w:val="00B0F0"/>
        </w:rPr>
        <w:t>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2BB18C74" w14:textId="50EB82D1" w:rsidR="00A9426D" w:rsidRPr="009002A6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trvalé travní porosty</w:t>
      </w:r>
      <w:r w:rsidR="00A9426D" w:rsidRPr="009002A6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 xml:space="preserve">koeficient … </w:t>
      </w:r>
      <w:r w:rsidR="00A9426D" w:rsidRPr="009002A6">
        <w:rPr>
          <w:rFonts w:ascii="Arial" w:hAnsi="Arial" w:cs="Arial"/>
          <w:i/>
          <w:iCs/>
          <w:color w:val="00B0F0"/>
        </w:rPr>
        <w:t xml:space="preserve">(od 0,5 do </w:t>
      </w:r>
      <w:r w:rsidR="009002A6">
        <w:rPr>
          <w:rFonts w:ascii="Arial" w:hAnsi="Arial" w:cs="Arial"/>
          <w:i/>
          <w:iCs/>
          <w:color w:val="00B0F0"/>
        </w:rPr>
        <w:t>1</w:t>
      </w:r>
      <w:r w:rsidR="00A9426D" w:rsidRPr="009002A6">
        <w:rPr>
          <w:rFonts w:ascii="Arial" w:hAnsi="Arial" w:cs="Arial"/>
          <w:i/>
          <w:iCs/>
          <w:color w:val="00B0F0"/>
        </w:rPr>
        <w:t>,</w:t>
      </w:r>
      <w:r w:rsidR="009002A6">
        <w:rPr>
          <w:rFonts w:ascii="Arial" w:hAnsi="Arial" w:cs="Arial"/>
          <w:i/>
          <w:iCs/>
          <w:color w:val="00B0F0"/>
        </w:rPr>
        <w:t>5</w:t>
      </w:r>
      <w:r w:rsidR="00A9426D" w:rsidRPr="009002A6">
        <w:rPr>
          <w:rFonts w:ascii="Arial" w:hAnsi="Arial" w:cs="Arial"/>
          <w:i/>
          <w:iCs/>
          <w:color w:val="00B0F0"/>
        </w:rPr>
        <w:t>)</w:t>
      </w:r>
      <w:r w:rsidR="00A9426D" w:rsidRPr="009002A6">
        <w:rPr>
          <w:rFonts w:ascii="Arial" w:hAnsi="Arial" w:cs="Arial"/>
          <w:color w:val="00B0F0"/>
        </w:rPr>
        <w:t>,</w:t>
      </w:r>
    </w:p>
    <w:bookmarkEnd w:id="4"/>
    <w:p w14:paraId="55661103" w14:textId="76067E30" w:rsidR="00A9426D" w:rsidRPr="009002A6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lesní pozemky</w:t>
      </w:r>
      <w:r w:rsidR="00A9426D" w:rsidRPr="009002A6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9002A6"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="00A9426D" w:rsidRPr="009002A6">
        <w:rPr>
          <w:rFonts w:ascii="Arial" w:hAnsi="Arial" w:cs="Arial"/>
          <w:color w:val="00B0F0"/>
        </w:rPr>
        <w:t xml:space="preserve">koeficient … </w:t>
      </w:r>
      <w:r w:rsidR="00A9426D" w:rsidRPr="009002A6">
        <w:rPr>
          <w:rFonts w:ascii="Arial" w:hAnsi="Arial" w:cs="Arial"/>
          <w:i/>
          <w:iCs/>
          <w:color w:val="00B0F0"/>
        </w:rPr>
        <w:t>(od 0,5 do 5,0)</w:t>
      </w:r>
      <w:r w:rsidR="00A9426D" w:rsidRPr="009002A6">
        <w:rPr>
          <w:rFonts w:ascii="Arial" w:hAnsi="Arial" w:cs="Arial"/>
          <w:color w:val="00B0F0"/>
        </w:rPr>
        <w:t>,</w:t>
      </w:r>
    </w:p>
    <w:p w14:paraId="47A775E2" w14:textId="7223F7B6" w:rsidR="00A9426D" w:rsidRPr="009002A6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zemědělské zpevněné plochy pozemku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7A8047B2" w14:textId="68E3001E" w:rsidR="00D9388E" w:rsidRPr="009002A6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ostatní zpevněné plochy pozemku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38102E0B" w14:textId="67887A9A" w:rsidR="00D9388E" w:rsidRPr="009002A6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stavební pozemky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2555B2D7" w14:textId="79D461E0" w:rsidR="009002A6" w:rsidRPr="009002A6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nevyužitelné ostatní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>
        <w:rPr>
          <w:rFonts w:ascii="Arial" w:hAnsi="Arial" w:cs="Arial"/>
          <w:i/>
          <w:iCs/>
          <w:color w:val="00B0F0"/>
        </w:rPr>
        <w:t>1,5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72732B4A" w14:textId="63BBB8D9" w:rsidR="009002A6" w:rsidRPr="009002A6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jiné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635D0BBF" w14:textId="7FF79A4C" w:rsidR="009002A6" w:rsidRPr="009002A6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vybrané ostatní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20F30DF3" w14:textId="6477EEA7" w:rsidR="00A9426D" w:rsidRPr="009002A6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002A6">
        <w:rPr>
          <w:rFonts w:ascii="Arial" w:hAnsi="Arial" w:cs="Arial"/>
          <w:color w:val="00B0F0"/>
        </w:rPr>
        <w:t>zastavěné plochy a nádvoří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="00AF0ECA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>
        <w:rPr>
          <w:rFonts w:ascii="Arial" w:hAnsi="Arial" w:cs="Arial"/>
        </w:rPr>
        <w:t>.</w:t>
      </w:r>
    </w:p>
    <w:bookmarkEnd w:id="5"/>
    <w:p w14:paraId="4B8343A7" w14:textId="7DFE9DA8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964558">
        <w:rPr>
          <w:rFonts w:ascii="Arial" w:hAnsi="Arial" w:cs="Arial"/>
          <w:color w:val="00B0F0"/>
        </w:rPr>
        <w:t xml:space="preserve">(město, městys) </w:t>
      </w:r>
      <w:r>
        <w:rPr>
          <w:rFonts w:ascii="Arial" w:hAnsi="Arial" w:cs="Arial"/>
        </w:rPr>
        <w:t xml:space="preserve">stanovuje místní koeficient pro jednotlivé skupiny </w:t>
      </w:r>
      <w:r w:rsidR="00AF0ECA">
        <w:rPr>
          <w:rFonts w:ascii="Arial" w:hAnsi="Arial" w:cs="Arial"/>
        </w:rPr>
        <w:t>staveb a jednotek</w:t>
      </w:r>
      <w:r>
        <w:rPr>
          <w:rFonts w:ascii="Arial" w:hAnsi="Arial" w:cs="Arial"/>
        </w:rPr>
        <w:t xml:space="preserve"> dle § </w:t>
      </w:r>
      <w:r w:rsidR="00AF0ECA">
        <w:rPr>
          <w:rFonts w:ascii="Arial" w:hAnsi="Arial" w:cs="Arial"/>
        </w:rPr>
        <w:t>10</w:t>
      </w:r>
      <w:r>
        <w:rPr>
          <w:rFonts w:ascii="Arial" w:hAnsi="Arial" w:cs="Arial"/>
        </w:rPr>
        <w:t>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3E67F40" w14:textId="0B217DDC" w:rsidR="00AF0ECA" w:rsidRPr="00815D1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obytné budovy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2C4B558B" w14:textId="48645065" w:rsidR="00AF0ECA" w:rsidRPr="00815D1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rekreační budovy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>koeficient …</w:t>
      </w:r>
      <w:r w:rsidR="00815D15" w:rsidRPr="00815D15">
        <w:rPr>
          <w:rFonts w:ascii="Arial" w:hAnsi="Arial" w:cs="Arial"/>
          <w:color w:val="00B0F0"/>
        </w:rPr>
        <w:t xml:space="preserve">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048D731C" w14:textId="342F8965" w:rsidR="00AF0ECA" w:rsidRPr="00815D1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lastRenderedPageBreak/>
        <w:t>garáže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1520E9DE" w14:textId="77777777" w:rsidR="00815D15" w:rsidRPr="00815D15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29875C1C" w14:textId="77777777" w:rsidR="00815D15" w:rsidRPr="00815D15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podnikání</w:t>
      </w:r>
      <w:r w:rsidR="00815D15" w:rsidRPr="00815D15">
        <w:rPr>
          <w:rFonts w:ascii="Arial" w:hAnsi="Arial" w:cs="Arial"/>
          <w:color w:val="00B0F0"/>
        </w:rPr>
        <w:t xml:space="preserve"> </w:t>
      </w:r>
      <w:r w:rsidRPr="00815D15">
        <w:rPr>
          <w:rFonts w:ascii="Arial" w:hAnsi="Arial" w:cs="Arial"/>
          <w:color w:val="00B0F0"/>
        </w:rPr>
        <w:t>v zemědělské prvovýrobě, lesním</w:t>
      </w:r>
    </w:p>
    <w:p w14:paraId="6648EC2D" w14:textId="41960D82" w:rsidR="00AF0ECA" w:rsidRPr="00703D3F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nebo vodním hospodářství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78FFC3D3" w14:textId="77777777" w:rsidR="00815D15" w:rsidRPr="00815D1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51979B4B" w14:textId="77777777" w:rsidR="00815D15" w:rsidRPr="00815D15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podnikání v průmyslu,</w:t>
      </w:r>
      <w:r w:rsidR="00815D15" w:rsidRPr="00815D15">
        <w:rPr>
          <w:rFonts w:ascii="Arial" w:hAnsi="Arial" w:cs="Arial"/>
          <w:color w:val="00B0F0"/>
        </w:rPr>
        <w:t xml:space="preserve"> </w:t>
      </w:r>
      <w:r w:rsidRPr="00815D15">
        <w:rPr>
          <w:rFonts w:ascii="Arial" w:hAnsi="Arial" w:cs="Arial"/>
          <w:color w:val="00B0F0"/>
        </w:rPr>
        <w:t>stavebnictví, dopravě,</w:t>
      </w:r>
    </w:p>
    <w:p w14:paraId="7611E4E7" w14:textId="1CE9EE12" w:rsidR="00AF0ECA" w:rsidRPr="00815D15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energetice nebo ostatní zemědělské výrobě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4B2AACE5" w14:textId="77777777" w:rsidR="00815D15" w:rsidRPr="00815D1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7038EA3B" w14:textId="6C17A41B" w:rsidR="00AF0ECA" w:rsidRPr="00815D15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druhy podnikání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549D8455" w14:textId="13A44965" w:rsidR="00AF0ECA" w:rsidRPr="00815D15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zdanitelné stavby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815D15" w:rsidRPr="00815D15">
        <w:rPr>
          <w:rFonts w:ascii="Arial" w:hAnsi="Arial" w:cs="Arial"/>
          <w:color w:val="00B0F0"/>
        </w:rPr>
        <w:t>,</w:t>
      </w:r>
    </w:p>
    <w:p w14:paraId="7D58C827" w14:textId="0EF65135" w:rsidR="00AF0ECA" w:rsidRPr="009234F2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zdanitelné jednotky</w:t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</w:r>
      <w:r w:rsidR="00815D15" w:rsidRPr="00815D15">
        <w:rPr>
          <w:rFonts w:ascii="Arial" w:hAnsi="Arial" w:cs="Arial"/>
          <w:color w:val="00B0F0"/>
        </w:rPr>
        <w:tab/>
        <w:t xml:space="preserve">koeficient … </w:t>
      </w:r>
      <w:r w:rsidR="00815D15" w:rsidRPr="00815D15">
        <w:rPr>
          <w:rFonts w:ascii="Arial" w:hAnsi="Arial" w:cs="Arial"/>
          <w:i/>
          <w:iCs/>
          <w:color w:val="00B0F0"/>
        </w:rPr>
        <w:t>(od 0,5 do 5,0)</w:t>
      </w:r>
      <w:r w:rsidR="00954256">
        <w:rPr>
          <w:rFonts w:ascii="Arial" w:hAnsi="Arial" w:cs="Arial"/>
        </w:rPr>
        <w:t>.</w:t>
      </w:r>
    </w:p>
    <w:p w14:paraId="276AEB49" w14:textId="5DBD1EE7" w:rsidR="00A9426D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9426D"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="00A9426D"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054C4E">
        <w:rPr>
          <w:rFonts w:ascii="Arial" w:hAnsi="Arial" w:cs="Arial"/>
        </w:rPr>
        <w:t xml:space="preserve"> </w:t>
      </w:r>
      <w:r w:rsidR="00054C4E" w:rsidRPr="00E31DAF">
        <w:rPr>
          <w:rFonts w:ascii="Arial" w:hAnsi="Arial" w:cs="Arial"/>
          <w:color w:val="00B0F0"/>
        </w:rPr>
        <w:t>(celého města, městyse)</w:t>
      </w:r>
      <w:r w:rsidR="00A9426D" w:rsidRPr="009234F2">
        <w:rPr>
          <w:rFonts w:ascii="Arial" w:hAnsi="Arial" w:cs="Arial"/>
        </w:rPr>
        <w:t>.</w:t>
      </w:r>
      <w:r w:rsidR="00A9426D">
        <w:rPr>
          <w:rStyle w:val="Znakapoznpodarou"/>
          <w:rFonts w:ascii="Arial" w:hAnsi="Arial" w:cs="Arial"/>
        </w:rPr>
        <w:footnoteReference w:id="3"/>
      </w:r>
    </w:p>
    <w:p w14:paraId="3EBAE1EE" w14:textId="437A60A3" w:rsidR="009234F2" w:rsidRDefault="009234F2" w:rsidP="009234F2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9234F2">
        <w:rPr>
          <w:rFonts w:ascii="Arial" w:hAnsi="Arial" w:cs="Arial"/>
          <w:i/>
          <w:color w:val="00B0F0"/>
          <w:sz w:val="20"/>
          <w:szCs w:val="20"/>
        </w:rPr>
        <w:t>Poznámka</w:t>
      </w:r>
      <w:r>
        <w:rPr>
          <w:rFonts w:ascii="Arial" w:hAnsi="Arial" w:cs="Arial"/>
          <w:i/>
          <w:color w:val="00B0F0"/>
          <w:sz w:val="20"/>
          <w:szCs w:val="20"/>
        </w:rPr>
        <w:t>:</w:t>
      </w:r>
      <w:r w:rsidRPr="009234F2"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Při </w:t>
      </w:r>
      <w:r w:rsidR="00291B07">
        <w:rPr>
          <w:rFonts w:ascii="Arial" w:hAnsi="Arial" w:cs="Arial"/>
          <w:i/>
          <w:color w:val="00B0F0"/>
          <w:sz w:val="20"/>
          <w:szCs w:val="20"/>
        </w:rPr>
        <w:t xml:space="preserve">zavádění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místního koeficientu pro jednotlivé skupiny nemovitých věcí si může obec zvolit, pro které z výše uvedených skupin </w:t>
      </w:r>
      <w:r w:rsidR="00516B51">
        <w:rPr>
          <w:rFonts w:ascii="Arial" w:hAnsi="Arial" w:cs="Arial"/>
          <w:i/>
          <w:color w:val="00B0F0"/>
          <w:sz w:val="20"/>
          <w:szCs w:val="20"/>
        </w:rPr>
        <w:t>pozemků a skupin staveb a jednotek místní koeficient stanoví. U nemovitých věc</w:t>
      </w:r>
      <w:r w:rsidR="001C5193">
        <w:rPr>
          <w:rFonts w:ascii="Arial" w:hAnsi="Arial" w:cs="Arial"/>
          <w:i/>
          <w:color w:val="00B0F0"/>
          <w:sz w:val="20"/>
          <w:szCs w:val="20"/>
        </w:rPr>
        <w:t>í</w:t>
      </w:r>
      <w:r w:rsidR="00516B51">
        <w:rPr>
          <w:rFonts w:ascii="Arial" w:hAnsi="Arial" w:cs="Arial"/>
          <w:i/>
          <w:color w:val="00B0F0"/>
          <w:sz w:val="20"/>
          <w:szCs w:val="20"/>
        </w:rPr>
        <w:t>, na které nedopadá žádný obcí stanovený místní koeficient, činí hodnota místního koeficientu ze zákona 1,0 (§ 12 odst. 3 zákona o dani z nemovitých věcí).</w:t>
      </w:r>
    </w:p>
    <w:p w14:paraId="5B2094DA" w14:textId="10E7CC97" w:rsidR="00516B51" w:rsidRDefault="00516B51" w:rsidP="009234F2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Obec může stanovit pro jednotlivé skupiny nemovitých věcí místní koeficient v rozmezí od 0,5 do 5,0; výjimkou jsou skupiny vybraných </w:t>
      </w:r>
      <w:r w:rsidR="00A02FB4">
        <w:rPr>
          <w:rFonts w:ascii="Arial" w:hAnsi="Arial" w:cs="Arial"/>
          <w:i/>
          <w:color w:val="00B0F0"/>
          <w:sz w:val="20"/>
          <w:szCs w:val="20"/>
        </w:rPr>
        <w:t xml:space="preserve">zemědělských </w:t>
      </w:r>
      <w:r>
        <w:rPr>
          <w:rFonts w:ascii="Arial" w:hAnsi="Arial" w:cs="Arial"/>
          <w:i/>
          <w:color w:val="00B0F0"/>
          <w:sz w:val="20"/>
          <w:szCs w:val="20"/>
        </w:rPr>
        <w:t>pozemků, trvalých travních porostů a nevyužitelných ostatních ploch, pro které lze stanovit místní koeficient v limitované výši od 0,5 do 1,5 (§ 12 odst. 2 zákona o dani z nemovitých věcí).</w:t>
      </w:r>
    </w:p>
    <w:p w14:paraId="4CEF0EC4" w14:textId="022E5E7F" w:rsidR="009234F2" w:rsidRPr="004224E6" w:rsidRDefault="00516B51" w:rsidP="004224E6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Místní koeficient pro jednotlivou skupinu nemovitých věcí </w:t>
      </w:r>
      <w:r w:rsidR="00A02FB4">
        <w:rPr>
          <w:rFonts w:ascii="Arial" w:hAnsi="Arial" w:cs="Arial"/>
          <w:i/>
          <w:color w:val="00B0F0"/>
          <w:sz w:val="20"/>
          <w:szCs w:val="20"/>
        </w:rPr>
        <w:t xml:space="preserve">se </w:t>
      </w:r>
      <w:r>
        <w:rPr>
          <w:rFonts w:ascii="Arial" w:hAnsi="Arial" w:cs="Arial"/>
          <w:i/>
          <w:color w:val="00B0F0"/>
          <w:sz w:val="20"/>
          <w:szCs w:val="20"/>
        </w:rPr>
        <w:t>dle § 12ab odst. 4 zákona o dani z nemovitých věcí vztahuje zásadně na všechny nemovité věci dané skupiny na území celé obce. Tento místní koeficient proto nelze zavádět pouze pro určit</w:t>
      </w:r>
      <w:r w:rsidR="004224E6">
        <w:rPr>
          <w:rFonts w:ascii="Arial" w:hAnsi="Arial" w:cs="Arial"/>
          <w:i/>
          <w:color w:val="00B0F0"/>
          <w:sz w:val="20"/>
          <w:szCs w:val="20"/>
        </w:rPr>
        <w:t xml:space="preserve">é územní </w:t>
      </w:r>
      <w:proofErr w:type="spellStart"/>
      <w:r w:rsidR="004224E6">
        <w:rPr>
          <w:rFonts w:ascii="Arial" w:hAnsi="Arial" w:cs="Arial"/>
          <w:i/>
          <w:color w:val="00B0F0"/>
          <w:sz w:val="20"/>
          <w:szCs w:val="20"/>
        </w:rPr>
        <w:t>subcelky</w:t>
      </w:r>
      <w:proofErr w:type="spellEnd"/>
      <w:r w:rsidR="004224E6">
        <w:rPr>
          <w:rFonts w:ascii="Arial" w:hAnsi="Arial" w:cs="Arial"/>
          <w:i/>
          <w:color w:val="00B0F0"/>
          <w:sz w:val="20"/>
          <w:szCs w:val="20"/>
        </w:rPr>
        <w:t xml:space="preserve"> obce, např. pro jednotlivá katastrální území, ale vždy pro obec jako celek.</w:t>
      </w:r>
    </w:p>
    <w:p w14:paraId="4BD11859" w14:textId="77777777" w:rsidR="00A9426D" w:rsidRPr="00841557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F9FFD74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3BBCC5F" w14:textId="77777777" w:rsidR="00A9426D" w:rsidRPr="0062486B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(města, městyse)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469C1E0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77777777" w:rsidR="00A9426D" w:rsidRDefault="00A9426D" w:rsidP="00A9426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p w14:paraId="3C68AA9C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16660954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62486B" w:rsidRDefault="00A9426D" w:rsidP="00A9426D">
      <w:pPr>
        <w:spacing w:line="276" w:lineRule="auto"/>
        <w:rPr>
          <w:rFonts w:ascii="Arial" w:hAnsi="Arial" w:cs="Arial"/>
        </w:rPr>
        <w:sectPr w:rsidR="00A9426D" w:rsidRPr="0062486B" w:rsidSect="00703D3F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9D51144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6E0434FE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271E591" w14:textId="77777777" w:rsidR="00A9426D" w:rsidRPr="0062486B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5680B7BA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315426C" w14:textId="77777777" w:rsidR="00A9426D" w:rsidRPr="005F7FAE" w:rsidRDefault="00A9426D" w:rsidP="00A9426D">
      <w:pPr>
        <w:spacing w:line="276" w:lineRule="auto"/>
        <w:rPr>
          <w:rFonts w:ascii="Arial" w:hAnsi="Arial" w:cs="Arial"/>
        </w:rPr>
      </w:pPr>
    </w:p>
    <w:p w14:paraId="01A1F9A3" w14:textId="77777777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3DF291DF" w14:textId="69AA3D14" w:rsidR="004224E6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42F609BF" w14:textId="77777777" w:rsidR="004224E6" w:rsidRDefault="004224E6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11BD53ED" w14:textId="3D9902AB" w:rsidR="004224E6" w:rsidRDefault="004224E6" w:rsidP="004224E6">
      <w:pPr>
        <w:pStyle w:val="Nadpis2"/>
      </w:pPr>
      <w:bookmarkStart w:id="6" w:name="_Toc159412611"/>
      <w:r w:rsidRPr="00CF08FF">
        <w:lastRenderedPageBreak/>
        <w:t xml:space="preserve">Varianta </w:t>
      </w:r>
      <w:r>
        <w:t>4 –</w:t>
      </w:r>
      <w:r w:rsidR="00954256">
        <w:t xml:space="preserve"> </w:t>
      </w:r>
      <w:r>
        <w:t>Kombinovaný v</w:t>
      </w:r>
      <w:r w:rsidRPr="00DA3552">
        <w:t>zor obecně závazné vyhlášky obce</w:t>
      </w:r>
      <w:r>
        <w:t>, kterou se stanoví místní koeficienty</w:t>
      </w:r>
      <w:r w:rsidR="00954256">
        <w:t xml:space="preserve"> (kombinace všech druhů místních koeficientů stanovovaných vyhláškou)</w:t>
      </w:r>
      <w:bookmarkEnd w:id="6"/>
    </w:p>
    <w:p w14:paraId="7350466A" w14:textId="77777777" w:rsidR="00A9426D" w:rsidRPr="00344EBB" w:rsidRDefault="00A9426D" w:rsidP="00A942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3A095E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(město, městys) …</w:t>
      </w:r>
    </w:p>
    <w:p w14:paraId="7E8652CE" w14:textId="77777777" w:rsidR="004224E6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0223AC1D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77777777" w:rsidR="004224E6" w:rsidRPr="0062486B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06BC290D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851874">
        <w:rPr>
          <w:rFonts w:ascii="Arial" w:hAnsi="Arial" w:cs="Arial"/>
          <w:color w:val="00B0F0"/>
        </w:rPr>
        <w:t xml:space="preserve">(města, městyse)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3BD3EC4F" w:rsidR="00797898" w:rsidRDefault="004224E6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797898">
        <w:rPr>
          <w:rFonts w:ascii="Arial" w:hAnsi="Arial" w:cs="Arial"/>
        </w:rPr>
        <w:t xml:space="preserve">Obec </w:t>
      </w:r>
      <w:r w:rsidRPr="00797898">
        <w:rPr>
          <w:rFonts w:ascii="Arial" w:hAnsi="Arial" w:cs="Arial"/>
          <w:color w:val="00B0F0"/>
        </w:rPr>
        <w:t xml:space="preserve">(město, městys) </w:t>
      </w:r>
      <w:r w:rsidRPr="00797898">
        <w:rPr>
          <w:rFonts w:ascii="Arial" w:hAnsi="Arial" w:cs="Arial"/>
        </w:rPr>
        <w:t xml:space="preserve">stanovuje místní koeficient pro obec ve výši … </w:t>
      </w:r>
      <w:r w:rsidRPr="00797898">
        <w:rPr>
          <w:rFonts w:ascii="Arial" w:hAnsi="Arial" w:cs="Arial"/>
          <w:i/>
          <w:iCs/>
          <w:color w:val="00B0F0"/>
        </w:rPr>
        <w:t>(obec zvolí koeficient v rozmezí od 0,5 do 5,0)</w:t>
      </w:r>
      <w:r w:rsidRPr="00797898">
        <w:rPr>
          <w:rFonts w:ascii="Arial" w:hAnsi="Arial" w:cs="Arial"/>
        </w:rPr>
        <w:t xml:space="preserve">. Tento místní koeficient se vztahuje na všechny nemovité věci na území celé obce </w:t>
      </w:r>
      <w:r w:rsidR="00F33E1B" w:rsidRPr="00E31DAF">
        <w:rPr>
          <w:rFonts w:ascii="Arial" w:hAnsi="Arial" w:cs="Arial"/>
          <w:color w:val="00B0F0"/>
        </w:rPr>
        <w:t>(celého města, městyse)</w:t>
      </w:r>
      <w:r w:rsidR="00F33E1B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4"/>
      </w:r>
    </w:p>
    <w:p w14:paraId="503BC9EE" w14:textId="7FA58F7D" w:rsidR="00797898" w:rsidRDefault="00797898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5"/>
      </w:r>
    </w:p>
    <w:p w14:paraId="7A96AC8F" w14:textId="286AE72A" w:rsidR="00C1506A" w:rsidRDefault="00C1506A" w:rsidP="00C1506A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Poznámka: Obec může přistoupit ke kombinaci jednotlivých </w:t>
      </w:r>
      <w:r w:rsidR="00954256">
        <w:rPr>
          <w:rFonts w:ascii="Arial" w:hAnsi="Arial" w:cs="Arial"/>
          <w:i/>
          <w:color w:val="00B0F0"/>
          <w:sz w:val="20"/>
          <w:szCs w:val="20"/>
        </w:rPr>
        <w:t xml:space="preserve">druhů </w:t>
      </w:r>
      <w:r>
        <w:rPr>
          <w:rFonts w:ascii="Arial" w:hAnsi="Arial" w:cs="Arial"/>
          <w:i/>
          <w:color w:val="00B0F0"/>
          <w:sz w:val="20"/>
          <w:szCs w:val="20"/>
        </w:rPr>
        <w:t>místních koeficientů</w:t>
      </w:r>
      <w:r w:rsidR="00954256">
        <w:rPr>
          <w:rFonts w:ascii="Arial" w:hAnsi="Arial" w:cs="Arial"/>
          <w:i/>
          <w:color w:val="00B0F0"/>
          <w:sz w:val="20"/>
          <w:szCs w:val="20"/>
        </w:rPr>
        <w:t>, a to buď všech nebo jen některých</w:t>
      </w:r>
      <w:r>
        <w:rPr>
          <w:rFonts w:ascii="Arial" w:hAnsi="Arial" w:cs="Arial"/>
          <w:i/>
          <w:color w:val="00B0F0"/>
          <w:sz w:val="20"/>
          <w:szCs w:val="20"/>
        </w:rPr>
        <w:t xml:space="preserve">. Zákonná úprava však vychází z principu, že na jednu nemovitou věc může dopadat pouze jeden místní koeficient. Za tímto účelem jsou v § 12 odst. 4 až 8 zákona o dani z nemovitých věcí stanovena kolizní pravidla (pravidla přednosti) při souběhu jednotlivých </w:t>
      </w:r>
      <w:r w:rsidR="00954256">
        <w:rPr>
          <w:rFonts w:ascii="Arial" w:hAnsi="Arial" w:cs="Arial"/>
          <w:i/>
          <w:color w:val="00B0F0"/>
          <w:sz w:val="20"/>
          <w:szCs w:val="20"/>
        </w:rPr>
        <w:t xml:space="preserve">druhů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místních koeficientů. </w:t>
      </w:r>
    </w:p>
    <w:p w14:paraId="5A7F2C80" w14:textId="39D89073" w:rsidR="00C1506A" w:rsidRDefault="00C1506A" w:rsidP="00C1506A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Pro účely tohoto vzoru obecně závazné vyhlášky jsou relevantní kolizní pravidla vycházející ze zákona uvedena v čl. 1 odst. 2 a čl. 3 odst. 4. Obci v žádném případě nepřísluší stanovovat vlastní kolizní pravidla pro uplatnění jednotlivých druhů místních koeficientů; v této části do vzoru obecně závazné vyhlášky nelze zasahovat.</w:t>
      </w:r>
    </w:p>
    <w:p w14:paraId="442A58CE" w14:textId="1521286D" w:rsidR="00C1506A" w:rsidRDefault="00C1506A" w:rsidP="00C1506A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Pro pořádek je třeba uvést, že v situaci, kdy by obec nad rámec úpravy místního koeficientu provedené obecně závaznou vyhláškou zavedla též místní koeficient formou opatření obecné povahy pro tzv.</w:t>
      </w:r>
      <w:r w:rsidR="00A02FB4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 xml:space="preserve">„vymezené nemovité věci“ </w:t>
      </w:r>
      <w:r w:rsidR="00B81D3F">
        <w:rPr>
          <w:rFonts w:ascii="Arial" w:hAnsi="Arial" w:cs="Arial"/>
          <w:i/>
          <w:color w:val="00B0F0"/>
          <w:sz w:val="20"/>
          <w:szCs w:val="20"/>
        </w:rPr>
        <w:t>[</w:t>
      </w:r>
      <w:r>
        <w:rPr>
          <w:rFonts w:ascii="Arial" w:hAnsi="Arial" w:cs="Arial"/>
          <w:i/>
          <w:color w:val="00B0F0"/>
          <w:sz w:val="20"/>
          <w:szCs w:val="20"/>
        </w:rPr>
        <w:t>§ 12 odst. 1 písm. b) zákona o dani z nemovitých věcí</w:t>
      </w:r>
      <w:r w:rsidR="00B81D3F">
        <w:rPr>
          <w:rFonts w:ascii="Arial" w:hAnsi="Arial" w:cs="Arial"/>
          <w:i/>
          <w:color w:val="00B0F0"/>
          <w:sz w:val="20"/>
          <w:szCs w:val="20"/>
        </w:rPr>
        <w:t>]</w:t>
      </w:r>
      <w:r>
        <w:rPr>
          <w:rFonts w:ascii="Arial" w:hAnsi="Arial" w:cs="Arial"/>
          <w:i/>
          <w:color w:val="00B0F0"/>
          <w:sz w:val="20"/>
          <w:szCs w:val="20"/>
        </w:rPr>
        <w:t xml:space="preserve">, bude mít úprava místního koeficientu v opatření obecné povahy absolutní přednost před úpravou provedenou obecně závaznou vyhláškou (§ 12 odst. </w:t>
      </w:r>
      <w:r w:rsidR="00954256">
        <w:rPr>
          <w:rFonts w:ascii="Arial" w:hAnsi="Arial" w:cs="Arial"/>
          <w:i/>
          <w:color w:val="00B0F0"/>
          <w:sz w:val="20"/>
          <w:szCs w:val="20"/>
        </w:rPr>
        <w:t>4 zákona o dani z nemovitých věcí).</w:t>
      </w:r>
    </w:p>
    <w:p w14:paraId="30C9865D" w14:textId="77777777" w:rsidR="00C1506A" w:rsidRPr="00C1506A" w:rsidRDefault="00C1506A" w:rsidP="00C1506A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DB8B6D3" w14:textId="148A251C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C28A34E" w14:textId="411AAE4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77777777" w:rsidR="00A23364" w:rsidRPr="00C22C01" w:rsidRDefault="00A23364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964558">
        <w:rPr>
          <w:rFonts w:ascii="Arial" w:hAnsi="Arial" w:cs="Arial"/>
          <w:color w:val="00B0F0"/>
        </w:rPr>
        <w:t xml:space="preserve">(město, městys) </w:t>
      </w:r>
      <w:r>
        <w:rPr>
          <w:rFonts w:ascii="Arial" w:hAnsi="Arial" w:cs="Arial"/>
        </w:rPr>
        <w:t>stanovuje místní koeficient pro jednotlivé katastrální území,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43E84862" w14:textId="77777777" w:rsidR="00A23364" w:rsidRPr="00164286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5,0)</w:t>
      </w:r>
      <w:r w:rsidRPr="00164286">
        <w:rPr>
          <w:rFonts w:ascii="Arial" w:hAnsi="Arial" w:cs="Arial"/>
        </w:rPr>
        <w:t>,</w:t>
      </w:r>
    </w:p>
    <w:p w14:paraId="412DB184" w14:textId="77777777" w:rsidR="00A23364" w:rsidRPr="00164286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 w:rsidRPr="00164286">
        <w:rPr>
          <w:rFonts w:ascii="Arial" w:hAnsi="Arial" w:cs="Arial"/>
        </w:rPr>
        <w:t>,</w:t>
      </w:r>
    </w:p>
    <w:p w14:paraId="10FFED99" w14:textId="77777777" w:rsidR="00A23364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 w:rsidRPr="00164286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</w:t>
      </w:r>
      <w:r w:rsidRPr="00964558">
        <w:rPr>
          <w:rFonts w:ascii="Arial" w:hAnsi="Arial" w:cs="Arial"/>
          <w:i/>
          <w:iCs/>
          <w:color w:val="00B0F0"/>
        </w:rPr>
        <w:t>(uvede se název)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>
        <w:rPr>
          <w:rFonts w:ascii="Arial" w:hAnsi="Arial" w:cs="Arial"/>
        </w:rPr>
        <w:t>,</w:t>
      </w:r>
    </w:p>
    <w:p w14:paraId="454AB57D" w14:textId="77777777" w:rsidR="00A23364" w:rsidRDefault="00A23364" w:rsidP="00A23364">
      <w:pPr>
        <w:pStyle w:val="Odstavecseseznamem"/>
        <w:numPr>
          <w:ilvl w:val="0"/>
          <w:numId w:val="30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</w:p>
    <w:p w14:paraId="5E214B02" w14:textId="34188B3B" w:rsidR="00A23364" w:rsidRDefault="00A23364" w:rsidP="00A2336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Poznámka: </w:t>
      </w:r>
      <w:r w:rsidRPr="000945A1"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obce nemohou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obecně závaznou vyhláškou stanovovat místní </w:t>
      </w:r>
      <w:r w:rsidRPr="000945A1">
        <w:rPr>
          <w:rFonts w:ascii="Arial" w:hAnsi="Arial" w:cs="Arial"/>
          <w:i/>
          <w:color w:val="00B0F0"/>
          <w:sz w:val="20"/>
          <w:szCs w:val="20"/>
        </w:rPr>
        <w:t>koeficient pro variabilně vymezené území, ale toliko pro jednotlivá katastrální území, která musí být jednoznačně označena jejich názvem (lze případně doplnit i kód katastrálního území). Nadále tedy není možné předmětný koeficient upravovat pro „části obce“ ve smyslu § 27 odst. 2 zákona o obcích (místní části, osady) označené jejich názvy, pro konkrétní ulice či pro jiným způsobem vymezené lokality.</w:t>
      </w:r>
    </w:p>
    <w:p w14:paraId="3E477A52" w14:textId="77777777" w:rsidR="00A23364" w:rsidRDefault="00A23364" w:rsidP="00A2336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Má-li obec zájem stanovit místní koeficient pro jiný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subcelek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než je katastrální území, případně pro konkrétně označené nemovité věci, může za tímto účelem na základě § 12 odst. odst. 1 písm. b) zákona o dani z nemovitých věcí přistoupit k vydání opatření obecné povahy, kterým stanoví místní koeficient pro tzv. „vymezené nemovité věci“. </w:t>
      </w:r>
    </w:p>
    <w:p w14:paraId="69014799" w14:textId="20632EB2" w:rsidR="00A23364" w:rsidRDefault="00A23364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945A1">
        <w:rPr>
          <w:rFonts w:ascii="Arial" w:hAnsi="Arial" w:cs="Arial"/>
        </w:rPr>
        <w:t xml:space="preserve">Tento místní koeficient se vztahuje na všechny nemovité věci na území </w:t>
      </w:r>
      <w:r>
        <w:rPr>
          <w:rFonts w:ascii="Arial" w:hAnsi="Arial" w:cs="Arial"/>
        </w:rPr>
        <w:t xml:space="preserve">daného katastrálního území </w:t>
      </w:r>
      <w:r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6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7BD4733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AF3FCA2" w14:textId="77777777" w:rsidR="00A23364" w:rsidRPr="00C22C01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964558">
        <w:rPr>
          <w:rFonts w:ascii="Arial" w:hAnsi="Arial" w:cs="Arial"/>
          <w:color w:val="00B0F0"/>
        </w:rPr>
        <w:t xml:space="preserve">(město, městys)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D2FB349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 xml:space="preserve">vybrané zemědělské pozemky 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>
        <w:rPr>
          <w:rFonts w:ascii="Arial" w:hAnsi="Arial" w:cs="Arial"/>
          <w:i/>
          <w:iCs/>
          <w:color w:val="00B0F0"/>
        </w:rPr>
        <w:t>1</w:t>
      </w:r>
      <w:r w:rsidRPr="009002A6">
        <w:rPr>
          <w:rFonts w:ascii="Arial" w:hAnsi="Arial" w:cs="Arial"/>
          <w:i/>
          <w:iCs/>
          <w:color w:val="00B0F0"/>
        </w:rPr>
        <w:t>,</w:t>
      </w:r>
      <w:r>
        <w:rPr>
          <w:rFonts w:ascii="Arial" w:hAnsi="Arial" w:cs="Arial"/>
          <w:i/>
          <w:iCs/>
          <w:color w:val="00B0F0"/>
        </w:rPr>
        <w:t>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69FDC897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trvalé travní porosty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>
        <w:rPr>
          <w:rFonts w:ascii="Arial" w:hAnsi="Arial" w:cs="Arial"/>
          <w:i/>
          <w:iCs/>
          <w:color w:val="00B0F0"/>
        </w:rPr>
        <w:t>1</w:t>
      </w:r>
      <w:r w:rsidRPr="009002A6">
        <w:rPr>
          <w:rFonts w:ascii="Arial" w:hAnsi="Arial" w:cs="Arial"/>
          <w:i/>
          <w:iCs/>
          <w:color w:val="00B0F0"/>
        </w:rPr>
        <w:t>,</w:t>
      </w:r>
      <w:r>
        <w:rPr>
          <w:rFonts w:ascii="Arial" w:hAnsi="Arial" w:cs="Arial"/>
          <w:i/>
          <w:iCs/>
          <w:color w:val="00B0F0"/>
        </w:rPr>
        <w:t>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4805373A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lesní pozemky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0B2474E7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zemědělské zpevněné plochy pozemku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10A58AAD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ostatní zpevněné plochy pozemku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39C5D0A3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stavební pozemky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74E1C31F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nevyužitelné ostatní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 xml:space="preserve">(od 0,5 do </w:t>
      </w:r>
      <w:r>
        <w:rPr>
          <w:rFonts w:ascii="Arial" w:hAnsi="Arial" w:cs="Arial"/>
          <w:i/>
          <w:iCs/>
          <w:color w:val="00B0F0"/>
        </w:rPr>
        <w:t>1,5</w:t>
      </w:r>
      <w:r w:rsidRPr="009002A6">
        <w:rPr>
          <w:rFonts w:ascii="Arial" w:hAnsi="Arial" w:cs="Arial"/>
          <w:i/>
          <w:iCs/>
          <w:color w:val="00B0F0"/>
        </w:rPr>
        <w:t>)</w:t>
      </w:r>
      <w:r w:rsidRPr="009002A6">
        <w:rPr>
          <w:rFonts w:ascii="Arial" w:hAnsi="Arial" w:cs="Arial"/>
          <w:color w:val="00B0F0"/>
        </w:rPr>
        <w:t>,</w:t>
      </w:r>
    </w:p>
    <w:p w14:paraId="14076829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jiné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7B33B5F2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  <w:color w:val="00B0F0"/>
        </w:rPr>
      </w:pPr>
      <w:r w:rsidRPr="009002A6">
        <w:rPr>
          <w:rFonts w:ascii="Arial" w:hAnsi="Arial" w:cs="Arial"/>
          <w:color w:val="00B0F0"/>
        </w:rPr>
        <w:t>vybrané ostatní plochy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9002A6">
        <w:rPr>
          <w:rFonts w:ascii="Arial" w:hAnsi="Arial" w:cs="Arial"/>
          <w:i/>
          <w:iCs/>
          <w:color w:val="00B0F0"/>
        </w:rPr>
        <w:t>(od 0,5 do 5,0)</w:t>
      </w:r>
      <w:r w:rsidRPr="009002A6">
        <w:rPr>
          <w:rFonts w:ascii="Arial" w:hAnsi="Arial" w:cs="Arial"/>
          <w:color w:val="00B0F0"/>
        </w:rPr>
        <w:t>,</w:t>
      </w:r>
    </w:p>
    <w:p w14:paraId="09D808F1" w14:textId="77777777" w:rsidR="00A23364" w:rsidRPr="009002A6" w:rsidRDefault="00A23364" w:rsidP="00954256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002A6">
        <w:rPr>
          <w:rFonts w:ascii="Arial" w:hAnsi="Arial" w:cs="Arial"/>
          <w:color w:val="00B0F0"/>
        </w:rPr>
        <w:t>zastavěné plochy a nádvoří</w:t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ab/>
      </w:r>
      <w:r>
        <w:rPr>
          <w:rFonts w:ascii="Arial" w:hAnsi="Arial" w:cs="Arial"/>
          <w:color w:val="00B0F0"/>
        </w:rPr>
        <w:tab/>
      </w:r>
      <w:r w:rsidRPr="009002A6">
        <w:rPr>
          <w:rFonts w:ascii="Arial" w:hAnsi="Arial" w:cs="Arial"/>
          <w:color w:val="00B0F0"/>
        </w:rPr>
        <w:t xml:space="preserve">koeficient … </w:t>
      </w:r>
      <w:r w:rsidRPr="000945A1">
        <w:rPr>
          <w:rFonts w:ascii="Arial" w:hAnsi="Arial" w:cs="Arial"/>
          <w:i/>
          <w:iCs/>
          <w:color w:val="00B0F0"/>
        </w:rPr>
        <w:t>(od 0,5 do 5,0</w:t>
      </w:r>
      <w:r>
        <w:rPr>
          <w:rFonts w:ascii="Arial" w:hAnsi="Arial" w:cs="Arial"/>
          <w:i/>
          <w:iCs/>
          <w:color w:val="00B0F0"/>
        </w:rPr>
        <w:t>)</w:t>
      </w:r>
      <w:r>
        <w:rPr>
          <w:rFonts w:ascii="Arial" w:hAnsi="Arial" w:cs="Arial"/>
        </w:rPr>
        <w:t>.</w:t>
      </w:r>
    </w:p>
    <w:p w14:paraId="3FDBBB20" w14:textId="77777777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964558">
        <w:rPr>
          <w:rFonts w:ascii="Arial" w:hAnsi="Arial" w:cs="Arial"/>
          <w:color w:val="00B0F0"/>
        </w:rPr>
        <w:t xml:space="preserve">(město, městys)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6BA68F97" w14:textId="77777777" w:rsidR="00A23364" w:rsidRPr="00815D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lastRenderedPageBreak/>
        <w:t>obytné budovy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6FDF934E" w14:textId="77777777" w:rsidR="00A23364" w:rsidRPr="00815D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rekreační budovy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6F23167D" w14:textId="77777777" w:rsidR="00A23364" w:rsidRPr="00815D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garáže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30229CB1" w14:textId="77777777" w:rsidR="00A23364" w:rsidRPr="00815D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3AE1FFB4" w14:textId="77777777" w:rsidR="00A23364" w:rsidRPr="00815D15" w:rsidRDefault="00A23364" w:rsidP="00A23364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podnikání v zemědělské prvovýrobě, lesním</w:t>
      </w:r>
    </w:p>
    <w:p w14:paraId="3579FF4A" w14:textId="7ED88D0D" w:rsidR="00A23364" w:rsidRPr="00954256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nebo vodním hospodářství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244396A5" w14:textId="77777777" w:rsidR="00A23364" w:rsidRPr="00815D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4FF70CD6" w14:textId="77777777" w:rsidR="00A23364" w:rsidRPr="00815D15" w:rsidRDefault="00A23364" w:rsidP="00954256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podnikání v průmyslu, stavebnictví, dopravě,</w:t>
      </w:r>
    </w:p>
    <w:p w14:paraId="53B43FDD" w14:textId="0BB45069" w:rsidR="00A23364" w:rsidRPr="00815D15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energetice nebo ostatní zemědělské výrobě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4502DE1F" w14:textId="77777777" w:rsidR="00A23364" w:rsidRPr="00815D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zdanitelné stavby a zdanitelné jednotky pro</w:t>
      </w:r>
    </w:p>
    <w:p w14:paraId="1A102720" w14:textId="474C8898" w:rsidR="00A23364" w:rsidRPr="00815D15" w:rsidRDefault="00A23364" w:rsidP="00954256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druhy podnikání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78B9C49F" w14:textId="77777777" w:rsidR="00A23364" w:rsidRPr="00815D15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zdanitelné stavby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Pr="00815D15">
        <w:rPr>
          <w:rFonts w:ascii="Arial" w:hAnsi="Arial" w:cs="Arial"/>
          <w:color w:val="00B0F0"/>
        </w:rPr>
        <w:t>,</w:t>
      </w:r>
    </w:p>
    <w:p w14:paraId="09B90B57" w14:textId="4E9733E4" w:rsidR="00A23364" w:rsidRPr="009234F2" w:rsidRDefault="00A23364" w:rsidP="00954256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  <w:color w:val="00B0F0"/>
        </w:rPr>
      </w:pPr>
      <w:r w:rsidRPr="00815D15">
        <w:rPr>
          <w:rFonts w:ascii="Arial" w:hAnsi="Arial" w:cs="Arial"/>
          <w:color w:val="00B0F0"/>
        </w:rPr>
        <w:t>ostatní zdanitelné jednotky</w:t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</w:r>
      <w:r w:rsidRPr="00815D15">
        <w:rPr>
          <w:rFonts w:ascii="Arial" w:hAnsi="Arial" w:cs="Arial"/>
          <w:color w:val="00B0F0"/>
        </w:rPr>
        <w:tab/>
        <w:t xml:space="preserve">koeficient … </w:t>
      </w:r>
      <w:r w:rsidRPr="00815D15">
        <w:rPr>
          <w:rFonts w:ascii="Arial" w:hAnsi="Arial" w:cs="Arial"/>
          <w:i/>
          <w:iCs/>
          <w:color w:val="00B0F0"/>
        </w:rPr>
        <w:t>(od 0,5 do 5,0)</w:t>
      </w:r>
      <w:r w:rsidR="00954256" w:rsidRPr="00954256">
        <w:rPr>
          <w:rFonts w:ascii="Arial" w:hAnsi="Arial" w:cs="Arial"/>
        </w:rPr>
        <w:t>.</w:t>
      </w:r>
    </w:p>
    <w:p w14:paraId="1AF4BA96" w14:textId="1F9A7EA7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="00F33E1B">
        <w:rPr>
          <w:rFonts w:ascii="Arial" w:hAnsi="Arial" w:cs="Arial"/>
        </w:rPr>
        <w:t xml:space="preserve"> </w:t>
      </w:r>
      <w:r w:rsidR="00F33E1B" w:rsidRPr="00E31DAF">
        <w:rPr>
          <w:rFonts w:ascii="Arial" w:hAnsi="Arial" w:cs="Arial"/>
          <w:color w:val="00B0F0"/>
        </w:rPr>
        <w:t>(celého města, městyse)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7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8"/>
      </w:r>
    </w:p>
    <w:p w14:paraId="39A6C5E3" w14:textId="48DA15D2" w:rsidR="00A23364" w:rsidRDefault="00A23364" w:rsidP="00A2336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9234F2">
        <w:rPr>
          <w:rFonts w:ascii="Arial" w:hAnsi="Arial" w:cs="Arial"/>
          <w:i/>
          <w:color w:val="00B0F0"/>
          <w:sz w:val="20"/>
          <w:szCs w:val="20"/>
        </w:rPr>
        <w:t>Poznámka</w:t>
      </w:r>
      <w:r>
        <w:rPr>
          <w:rFonts w:ascii="Arial" w:hAnsi="Arial" w:cs="Arial"/>
          <w:i/>
          <w:color w:val="00B0F0"/>
          <w:sz w:val="20"/>
          <w:szCs w:val="20"/>
        </w:rPr>
        <w:t>:</w:t>
      </w:r>
      <w:r w:rsidRPr="009234F2">
        <w:rPr>
          <w:rFonts w:ascii="Arial" w:hAnsi="Arial" w:cs="Arial"/>
          <w:i/>
          <w:color w:val="00B0F0"/>
          <w:sz w:val="20"/>
          <w:szCs w:val="20"/>
        </w:rPr>
        <w:t xml:space="preserve">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Při </w:t>
      </w:r>
      <w:r w:rsidR="00B81D3F">
        <w:rPr>
          <w:rFonts w:ascii="Arial" w:hAnsi="Arial" w:cs="Arial"/>
          <w:i/>
          <w:color w:val="00B0F0"/>
          <w:sz w:val="20"/>
          <w:szCs w:val="20"/>
        </w:rPr>
        <w:t xml:space="preserve">zavádění </w:t>
      </w:r>
      <w:r>
        <w:rPr>
          <w:rFonts w:ascii="Arial" w:hAnsi="Arial" w:cs="Arial"/>
          <w:i/>
          <w:color w:val="00B0F0"/>
          <w:sz w:val="20"/>
          <w:szCs w:val="20"/>
        </w:rPr>
        <w:t>místního koeficientu pro jednotlivé skupiny nemovitých věcí si může obec zvolit, pro které z výše uvedených skupin pozemků a skupin staveb a jednotek místní koeficient stanoví. U nemovitých věc</w:t>
      </w:r>
      <w:r w:rsidR="00E26B2A">
        <w:rPr>
          <w:rFonts w:ascii="Arial" w:hAnsi="Arial" w:cs="Arial"/>
          <w:i/>
          <w:color w:val="00B0F0"/>
          <w:sz w:val="20"/>
          <w:szCs w:val="20"/>
        </w:rPr>
        <w:t>í</w:t>
      </w:r>
      <w:r>
        <w:rPr>
          <w:rFonts w:ascii="Arial" w:hAnsi="Arial" w:cs="Arial"/>
          <w:i/>
          <w:color w:val="00B0F0"/>
          <w:sz w:val="20"/>
          <w:szCs w:val="20"/>
        </w:rPr>
        <w:t>, na které nedopadá žádný obcí stanovený místní koeficient, činí hodnota místního koeficientu ze zákona 1,0 (§ 12 odst. 3 zákona o dani z nemovitých věcí).</w:t>
      </w:r>
    </w:p>
    <w:p w14:paraId="4E02748C" w14:textId="14CA2B46" w:rsidR="00A23364" w:rsidRDefault="00A23364" w:rsidP="00A2336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Obec může stanovit pro jednotlivé skupiny nemovitých věcí místní koeficient v rozmezí od 0,5 do 5,0; výjimkou jsou skupiny vybraných </w:t>
      </w:r>
      <w:r w:rsidR="00A02FB4">
        <w:rPr>
          <w:rFonts w:ascii="Arial" w:hAnsi="Arial" w:cs="Arial"/>
          <w:i/>
          <w:color w:val="00B0F0"/>
          <w:sz w:val="20"/>
          <w:szCs w:val="20"/>
        </w:rPr>
        <w:t xml:space="preserve">zemědělských </w:t>
      </w:r>
      <w:r>
        <w:rPr>
          <w:rFonts w:ascii="Arial" w:hAnsi="Arial" w:cs="Arial"/>
          <w:i/>
          <w:color w:val="00B0F0"/>
          <w:sz w:val="20"/>
          <w:szCs w:val="20"/>
        </w:rPr>
        <w:t>pozemků, trvalých travních porostů a nevyužitelných ostatních ploch, pro které lze stanovit místní koeficient v limitované výši od 0,5 do 1,5 (§ 12 odst. 2 zákona o dani z nemovitých věcí).</w:t>
      </w:r>
    </w:p>
    <w:p w14:paraId="4F3E0BF4" w14:textId="62F23851" w:rsidR="00A23364" w:rsidRPr="004224E6" w:rsidRDefault="00A23364" w:rsidP="00A23364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Místní koeficient pro jednotlivou skupinu nemovitých věcí </w:t>
      </w:r>
      <w:r w:rsidR="00A02FB4">
        <w:rPr>
          <w:rFonts w:ascii="Arial" w:hAnsi="Arial" w:cs="Arial"/>
          <w:i/>
          <w:color w:val="00B0F0"/>
          <w:sz w:val="20"/>
          <w:szCs w:val="20"/>
        </w:rPr>
        <w:t xml:space="preserve">se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dle § 12ab odst. 4 zákona o dani z nemovitých věcí vztahuje zásadně na všechny nemovité věci dané skupiny na území celé obce. Tento místní koeficient proto nelze zavádět pouze pro určité územní </w:t>
      </w:r>
      <w:proofErr w:type="spellStart"/>
      <w:r>
        <w:rPr>
          <w:rFonts w:ascii="Arial" w:hAnsi="Arial" w:cs="Arial"/>
          <w:i/>
          <w:color w:val="00B0F0"/>
          <w:sz w:val="20"/>
          <w:szCs w:val="20"/>
        </w:rPr>
        <w:t>subcelky</w:t>
      </w:r>
      <w:proofErr w:type="spellEnd"/>
      <w:r>
        <w:rPr>
          <w:rFonts w:ascii="Arial" w:hAnsi="Arial" w:cs="Arial"/>
          <w:i/>
          <w:color w:val="00B0F0"/>
          <w:sz w:val="20"/>
          <w:szCs w:val="20"/>
        </w:rPr>
        <w:t xml:space="preserve"> obce, např. pro jednotlivá katastrální území, ale vždy pro obec jako celek.</w:t>
      </w:r>
    </w:p>
    <w:p w14:paraId="06B6277F" w14:textId="77777777" w:rsidR="00A23364" w:rsidRP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549C7CF9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54256">
        <w:rPr>
          <w:rFonts w:ascii="Arial" w:hAnsi="Arial" w:cs="Arial"/>
          <w:b/>
        </w:rPr>
        <w:t>4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77777777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(města, městyse)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42E0C47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67FCD589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954256">
        <w:rPr>
          <w:rFonts w:ascii="Arial" w:hAnsi="Arial" w:cs="Arial"/>
          <w:b/>
        </w:rPr>
        <w:t>5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77777777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… </w:t>
      </w:r>
      <w:r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11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51FEFC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CAFBC20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1CD0E268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148A6DE6" w14:textId="77777777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1DA6DA49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510F22C" w14:textId="77777777" w:rsidR="004224E6" w:rsidRPr="005F7FAE" w:rsidRDefault="004224E6" w:rsidP="004224E6">
      <w:pPr>
        <w:spacing w:line="276" w:lineRule="auto"/>
        <w:rPr>
          <w:rFonts w:ascii="Arial" w:hAnsi="Arial" w:cs="Arial"/>
        </w:rPr>
      </w:pPr>
    </w:p>
    <w:p w14:paraId="162738AF" w14:textId="77777777" w:rsidR="004224E6" w:rsidRPr="00344EBB" w:rsidRDefault="004224E6" w:rsidP="004224E6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79B65BFA" w14:textId="2D4312C1" w:rsidR="004224E6" w:rsidRDefault="004224E6" w:rsidP="004224E6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</w:t>
      </w:r>
      <w:r w:rsidR="00A02FB4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strany Ministerstva vnitra zveřejnit na své úřední desce po dobu alespoň 15 dnů oznámení o</w:t>
      </w:r>
      <w:r w:rsidR="00A02FB4">
        <w:rPr>
          <w:rFonts w:ascii="Arial" w:hAnsi="Arial" w:cs="Arial"/>
          <w:i/>
          <w:color w:val="00B0F0"/>
          <w:sz w:val="20"/>
          <w:szCs w:val="20"/>
        </w:rPr>
        <w:t> </w:t>
      </w:r>
      <w:r w:rsidRPr="00344EBB">
        <w:rPr>
          <w:rFonts w:ascii="Arial" w:hAnsi="Arial" w:cs="Arial"/>
          <w:i/>
          <w:color w:val="00B0F0"/>
          <w:sz w:val="20"/>
          <w:szCs w:val="20"/>
        </w:rPr>
        <w:t>vyhlášení vyhlášky ve Sbírce právních předpisů územních samosprávných celků a některých správních úřadů.</w:t>
      </w:r>
    </w:p>
    <w:p w14:paraId="130F61D0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D7AD71D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CAB9F5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9DA2CC" w14:textId="3465403B" w:rsidR="005D236D" w:rsidRDefault="005D236D" w:rsidP="005D236D">
      <w:pPr>
        <w:pStyle w:val="Nadpis2"/>
      </w:pPr>
      <w:bookmarkStart w:id="7" w:name="_Toc159412612"/>
      <w:r w:rsidRPr="00CF08FF">
        <w:lastRenderedPageBreak/>
        <w:t xml:space="preserve">Varianta </w:t>
      </w:r>
      <w:r>
        <w:t xml:space="preserve">5 – </w:t>
      </w:r>
      <w:r w:rsidRPr="00DA3552">
        <w:t>Vzor obecně závazné vyhlášky obce, kterou se</w:t>
      </w:r>
      <w:r>
        <w:t xml:space="preserve"> zvyšuje koeficient, jímž se násobí sazba daně u skupiny stavebních pozemků</w:t>
      </w:r>
      <w:bookmarkEnd w:id="7"/>
    </w:p>
    <w:p w14:paraId="497B51DD" w14:textId="77777777" w:rsidR="005D236D" w:rsidRPr="00841557" w:rsidRDefault="005D236D" w:rsidP="005D236D"/>
    <w:p w14:paraId="1B005864" w14:textId="77777777" w:rsidR="005D236D" w:rsidRPr="0062486B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(město, městys) …</w:t>
      </w:r>
    </w:p>
    <w:p w14:paraId="774BA447" w14:textId="77777777" w:rsidR="005D236D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2BEA4196" w14:textId="77777777" w:rsidR="005D236D" w:rsidRPr="0062486B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4E2F2D4" w14:textId="77777777" w:rsidR="005D236D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  <w:r>
        <w:rPr>
          <w:rFonts w:ascii="Arial" w:hAnsi="Arial" w:cs="Arial"/>
          <w:b/>
          <w:sz w:val="24"/>
          <w:szCs w:val="24"/>
        </w:rPr>
        <w:t>, kterou se zvyšuje koeficient, jímž se násobí sazba daně u skupiny stavebních pozemků</w:t>
      </w:r>
    </w:p>
    <w:p w14:paraId="218A98F7" w14:textId="77777777" w:rsidR="005D236D" w:rsidRPr="0062486B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5D1B0F6D" w14:textId="77777777" w:rsidR="005D236D" w:rsidRDefault="005D236D" w:rsidP="005D23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851874">
        <w:rPr>
          <w:rFonts w:ascii="Arial" w:hAnsi="Arial" w:cs="Arial"/>
          <w:color w:val="00B0F0"/>
        </w:rPr>
        <w:t xml:space="preserve">(města, městyse)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6 odst. 4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722B9E50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0E655B7A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17306E6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14DC8C82" w14:textId="77777777" w:rsidR="005D236D" w:rsidRDefault="005D236D" w:rsidP="005D236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>se koeficient, jímž se násobí sazba daně, zvyšuje o jednu kategorii podle členění koeficientů dle § 6 odst. 3 zákona o dani z nemovitých věcí, a to pro všechny tyto pozemky na území jednotlivého katastrálního území:</w:t>
      </w:r>
    </w:p>
    <w:p w14:paraId="6C0720BB" w14:textId="77777777" w:rsidR="005D236D" w:rsidRPr="00B11D2D" w:rsidRDefault="005D236D" w:rsidP="005D236D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687F870A" w14:textId="77777777" w:rsidR="005D236D" w:rsidRPr="00B11D2D" w:rsidRDefault="005D236D" w:rsidP="005D236D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</w:t>
      </w:r>
      <w:r w:rsidRPr="00B11D2D">
        <w:rPr>
          <w:rFonts w:ascii="Arial" w:hAnsi="Arial" w:cs="Arial"/>
          <w:color w:val="00B0F0"/>
        </w:rPr>
        <w:t>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7F6C740E" w14:textId="77777777" w:rsidR="005D236D" w:rsidRPr="00C201D1" w:rsidRDefault="005D236D" w:rsidP="005D236D">
      <w:pPr>
        <w:pStyle w:val="Odstavecseseznamem"/>
        <w:numPr>
          <w:ilvl w:val="0"/>
          <w:numId w:val="9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</w:t>
      </w:r>
      <w:r w:rsidRPr="00B11D2D">
        <w:rPr>
          <w:rFonts w:ascii="Arial" w:hAnsi="Arial" w:cs="Arial"/>
          <w:color w:val="00B0F0"/>
        </w:rPr>
        <w:t>)</w:t>
      </w:r>
    </w:p>
    <w:p w14:paraId="7EAD2CBA" w14:textId="77777777" w:rsidR="005D236D" w:rsidRDefault="005D236D" w:rsidP="005D236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499CE49" w14:textId="49136BF7" w:rsidR="005D236D" w:rsidRDefault="005D236D" w:rsidP="005D236D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841557">
        <w:rPr>
          <w:rFonts w:ascii="Arial" w:hAnsi="Arial" w:cs="Arial"/>
          <w:i/>
          <w:color w:val="00B0F0"/>
          <w:sz w:val="20"/>
          <w:szCs w:val="20"/>
        </w:rPr>
        <w:t xml:space="preserve">Poznámka: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již obce nemohou koeficient, kterým se v případě skupiny stavebních pozemků násobí sazba daně (§ 6 odst. 3 zákona o dani z nemovitých věcí), </w:t>
      </w:r>
      <w:r w:rsidRPr="00353986">
        <w:rPr>
          <w:rFonts w:ascii="Arial" w:hAnsi="Arial" w:cs="Arial"/>
          <w:i/>
          <w:color w:val="00B0F0"/>
          <w:sz w:val="20"/>
          <w:szCs w:val="20"/>
        </w:rPr>
        <w:t>snižovat o jednu až tři kategorie dolů</w:t>
      </w:r>
      <w:r>
        <w:rPr>
          <w:rFonts w:ascii="Arial" w:hAnsi="Arial" w:cs="Arial"/>
          <w:i/>
          <w:color w:val="00B0F0"/>
          <w:sz w:val="20"/>
          <w:szCs w:val="20"/>
        </w:rPr>
        <w:t>. Nově lze předmětný koeficient pouze o jednu kategorii zvýšit. Pro snížení daně v případě skupiny stavebních pozemků obec může využít stanovení místního koeficientu pro tuto skupinu nemovitých věcí v hodnotách od 0,5 do 0,9 [§ 12 odst. 1 písm. a) bod 4 ve spojení s § 5a odst.</w:t>
      </w:r>
      <w:r w:rsidR="00B81D3F">
        <w:rPr>
          <w:rFonts w:ascii="Arial" w:hAnsi="Arial" w:cs="Arial"/>
          <w:i/>
          <w:color w:val="00B0F0"/>
          <w:sz w:val="20"/>
          <w:szCs w:val="20"/>
        </w:rPr>
        <w:t> </w:t>
      </w:r>
      <w:r>
        <w:rPr>
          <w:rFonts w:ascii="Arial" w:hAnsi="Arial" w:cs="Arial"/>
          <w:i/>
          <w:color w:val="00B0F0"/>
          <w:sz w:val="20"/>
          <w:szCs w:val="20"/>
        </w:rPr>
        <w:t>1 písm. f) zákona o dani z nemovitých věcí].</w:t>
      </w:r>
    </w:p>
    <w:p w14:paraId="2B8BA3F5" w14:textId="72EA3271" w:rsidR="005D236D" w:rsidRDefault="005D236D" w:rsidP="005D236D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Obcím se nedoporučuje v obecně závazných vyhláškách uvádět konkrétní hodnotu, na níž je koeficient dle § 6 odst. 3 zákona o dani z nemovitých věcí navyšován, a to z důvodu, že v důsledku změn v počtu obyvatel obce může v následujících letech dojít k přeřazení obce do jiné kategorie zákonného koeficientu, a podle obecně závazné vyhlášky tak již nebude možné postupovat. Vhodnější je proto pouze obecně stanovit, že se koeficient „zvyšuje o jednu kategorii“.</w:t>
      </w:r>
    </w:p>
    <w:p w14:paraId="271DB4E3" w14:textId="5BB58506" w:rsidR="005D236D" w:rsidRPr="00841557" w:rsidRDefault="005D236D" w:rsidP="005D236D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S účinností od 1. ledna 2025 obce nemohou předmětný koeficient upravovat pro variabilně vymezené území, ale toliko pro jednotlivá katastrální území, která musí být jednoznačně označena jejich názvem (lze případně doplnit i kód katastrálního území). Nadále tedy není možné předmětný koeficient upravovat pro „části obce“ ve smyslu § 27 odst. 2 zákona o obcích (místní části, osady) označené jejich názvy, pro konkrétní ulice či pro jiným způsobem vymezené lokality.</w:t>
      </w:r>
    </w:p>
    <w:p w14:paraId="39B13BDC" w14:textId="77777777" w:rsidR="005D236D" w:rsidRPr="00841557" w:rsidRDefault="005D236D" w:rsidP="005D236D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5F524721" w14:textId="77777777" w:rsidR="005D236D" w:rsidRPr="00900ACE" w:rsidRDefault="005D236D" w:rsidP="005D236D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727F9F84" w14:textId="77777777" w:rsidR="005D236D" w:rsidRPr="00900ACE" w:rsidRDefault="005D236D" w:rsidP="005D23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51785B0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27078CC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FD6E500" w14:textId="77777777" w:rsidR="005D236D" w:rsidRPr="0062486B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(města, městyse)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721C285C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3D4538E6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23A4A38D" w14:textId="77777777" w:rsidR="005D236D" w:rsidRPr="00834C11" w:rsidRDefault="005D236D" w:rsidP="005D23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7E232372" w14:textId="77777777" w:rsidR="005D236D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… </w:t>
      </w:r>
      <w:r w:rsidRPr="00C201D1"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2513DAB4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05BA02D6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4C0B7E3E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6FF6FAB2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70FC6743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  <w:sectPr w:rsidR="005D236D" w:rsidRPr="0062486B">
          <w:footerReference w:type="default" r:id="rId12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12650F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2BBC3B2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384F55F0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6A09C99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50F195C3" w14:textId="2D917491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místostarosta</w:t>
      </w:r>
    </w:p>
    <w:p w14:paraId="522028AB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  <w:sectPr w:rsidR="005D23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F782198" w14:textId="77777777" w:rsidR="005D236D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15E3BC03" w14:textId="7C25C15E" w:rsidR="005D236D" w:rsidRPr="00344EBB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5CB08D33" w14:textId="243B9BC8" w:rsidR="005D236D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  <w:r>
        <w:rPr>
          <w:rFonts w:ascii="Arial" w:hAnsi="Arial" w:cs="Arial"/>
          <w:i/>
          <w:color w:val="00B0F0"/>
          <w:sz w:val="20"/>
          <w:szCs w:val="20"/>
        </w:rPr>
        <w:br w:type="page"/>
      </w:r>
    </w:p>
    <w:p w14:paraId="6A6FA0D6" w14:textId="700DEEEB" w:rsidR="005D236D" w:rsidRDefault="005D236D" w:rsidP="005D236D">
      <w:pPr>
        <w:pStyle w:val="Nadpis2"/>
      </w:pPr>
      <w:bookmarkStart w:id="8" w:name="_Toc159412613"/>
      <w:r w:rsidRPr="00CF08FF">
        <w:lastRenderedPageBreak/>
        <w:t xml:space="preserve">Varianta </w:t>
      </w:r>
      <w:r>
        <w:t xml:space="preserve">6 – </w:t>
      </w:r>
      <w:r w:rsidRPr="00DA3552">
        <w:t>Vzor obecně závazné vyhlášky obce, kterou se</w:t>
      </w:r>
      <w:r>
        <w:t xml:space="preserve"> zvyšuje koeficient, jímž se násobí sazba daně u vybraných skupin staveb a jednotek</w:t>
      </w:r>
      <w:bookmarkEnd w:id="8"/>
      <w:r>
        <w:t xml:space="preserve"> </w:t>
      </w:r>
    </w:p>
    <w:p w14:paraId="577A2E1F" w14:textId="247E9EDA" w:rsidR="005D236D" w:rsidRDefault="005D236D" w:rsidP="005D236D"/>
    <w:p w14:paraId="28A0DB9A" w14:textId="77777777" w:rsidR="00435182" w:rsidRPr="00841557" w:rsidRDefault="00435182" w:rsidP="005D236D"/>
    <w:p w14:paraId="0548492F" w14:textId="77777777" w:rsidR="005D236D" w:rsidRPr="0062486B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(město, městys) …</w:t>
      </w:r>
    </w:p>
    <w:p w14:paraId="412C5575" w14:textId="77777777" w:rsidR="005D236D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</w:p>
    <w:p w14:paraId="5CD74AFC" w14:textId="77777777" w:rsidR="005D236D" w:rsidRPr="0062486B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A648B73" w14:textId="77777777" w:rsidR="005D236D" w:rsidRDefault="005D236D" w:rsidP="005D23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(města, městyse) …</w:t>
      </w:r>
      <w:r>
        <w:rPr>
          <w:rFonts w:ascii="Arial" w:hAnsi="Arial" w:cs="Arial"/>
          <w:b/>
          <w:sz w:val="24"/>
          <w:szCs w:val="24"/>
        </w:rPr>
        <w:t>, kterou se zvyšuje koeficient, jímž se násobí sazba daně u vybraných skupin staveb a jednotek</w:t>
      </w:r>
    </w:p>
    <w:p w14:paraId="0E4695D2" w14:textId="77777777" w:rsidR="005D236D" w:rsidRPr="0062486B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44EE4100" w14:textId="77777777" w:rsidR="005D236D" w:rsidRDefault="005D236D" w:rsidP="005D23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851874">
        <w:rPr>
          <w:rFonts w:ascii="Arial" w:hAnsi="Arial" w:cs="Arial"/>
          <w:color w:val="00B0F0"/>
        </w:rPr>
        <w:t xml:space="preserve">(města, městyse) </w:t>
      </w:r>
      <w:r>
        <w:rPr>
          <w:rFonts w:ascii="Arial" w:hAnsi="Arial" w:cs="Arial"/>
        </w:rPr>
        <w:t>… se na svém zasedání dne …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11</w:t>
      </w:r>
      <w:r w:rsidRPr="00DA3552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A35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340812F" w14:textId="77777777" w:rsidR="005D236D" w:rsidRDefault="005D236D" w:rsidP="005D236D">
      <w:pPr>
        <w:spacing w:line="276" w:lineRule="auto"/>
        <w:rPr>
          <w:rFonts w:ascii="Arial" w:hAnsi="Arial" w:cs="Arial"/>
        </w:rPr>
      </w:pPr>
    </w:p>
    <w:p w14:paraId="5CA895EE" w14:textId="77777777" w:rsidR="005D236D" w:rsidRPr="00653D29" w:rsidRDefault="005D236D" w:rsidP="005D236D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1 - zvýšení koeficientu pro skupinu obytných budov i pro skupinu ostatních zdanitelných jednotek </w:t>
      </w:r>
    </w:p>
    <w:p w14:paraId="4A8CAB99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19FD8CA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3C4C6672" w14:textId="6E216A03" w:rsidR="005D236D" w:rsidRDefault="005D236D" w:rsidP="005D236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</w:t>
      </w:r>
      <w:r w:rsidR="003F4F73" w:rsidRPr="003F4F73">
        <w:rPr>
          <w:rFonts w:ascii="Arial" w:hAnsi="Arial" w:cs="Arial"/>
        </w:rPr>
        <w:t>1</w:t>
      </w:r>
      <w:r w:rsidRPr="003F4F73">
        <w:rPr>
          <w:rFonts w:ascii="Arial" w:hAnsi="Arial" w:cs="Arial"/>
        </w:rPr>
        <w:t xml:space="preserve">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</w:p>
    <w:p w14:paraId="5A02EB92" w14:textId="77777777" w:rsidR="005D236D" w:rsidRPr="00B11D2D" w:rsidRDefault="005D236D" w:rsidP="005D236D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3D1416CE" w14:textId="77777777" w:rsidR="005D236D" w:rsidRPr="00B11D2D" w:rsidRDefault="005D236D" w:rsidP="005D236D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</w:t>
      </w:r>
      <w:r w:rsidRPr="00B11D2D">
        <w:rPr>
          <w:rFonts w:ascii="Arial" w:hAnsi="Arial" w:cs="Arial"/>
          <w:color w:val="00B0F0"/>
        </w:rPr>
        <w:t>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46BBC3B6" w14:textId="77777777" w:rsidR="005D236D" w:rsidRPr="00456689" w:rsidRDefault="005D236D" w:rsidP="005D236D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</w:t>
      </w:r>
      <w:r w:rsidRPr="00B11D2D">
        <w:rPr>
          <w:rFonts w:ascii="Arial" w:hAnsi="Arial" w:cs="Arial"/>
          <w:color w:val="00B0F0"/>
        </w:rPr>
        <w:t>)</w:t>
      </w:r>
    </w:p>
    <w:p w14:paraId="55C08676" w14:textId="77777777" w:rsidR="00435182" w:rsidRDefault="00435182" w:rsidP="005D23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03ACAF" w14:textId="77777777" w:rsidR="005D236D" w:rsidRDefault="005D236D" w:rsidP="005D236D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2 - zvýšení koeficientu pouze pro skupinu obytných budov </w:t>
      </w:r>
    </w:p>
    <w:p w14:paraId="49047843" w14:textId="77777777" w:rsidR="005D236D" w:rsidRDefault="005D236D" w:rsidP="005D236D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4B866F24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F6298E2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skupiny obytných budov</w:t>
      </w:r>
    </w:p>
    <w:p w14:paraId="04900A05" w14:textId="24663435" w:rsidR="005D236D" w:rsidRDefault="005D236D" w:rsidP="005D236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se koeficient, jímž se násobí sazba daně, zvyšuje o jednu kategorii podle členění koeficientů dle § </w:t>
      </w:r>
      <w:r w:rsidRPr="003F4F73">
        <w:rPr>
          <w:rFonts w:ascii="Arial" w:hAnsi="Arial" w:cs="Arial"/>
        </w:rPr>
        <w:t>1</w:t>
      </w:r>
      <w:r w:rsidR="003F4F73" w:rsidRPr="003F4F73">
        <w:rPr>
          <w:rFonts w:ascii="Arial" w:hAnsi="Arial" w:cs="Arial"/>
        </w:rPr>
        <w:t>1</w:t>
      </w:r>
      <w:r w:rsidRPr="003F4F73">
        <w:rPr>
          <w:rFonts w:ascii="Arial" w:hAnsi="Arial" w:cs="Arial"/>
        </w:rPr>
        <w:t xml:space="preserve"> odst. 4</w:t>
      </w:r>
      <w:r>
        <w:rPr>
          <w:rFonts w:ascii="Arial" w:hAnsi="Arial" w:cs="Arial"/>
        </w:rPr>
        <w:t xml:space="preserve"> zákona o dani z nemovitých věcí, a to pro všechny tyto zdanitelné stavby na území jednotlivého katastrálního území:</w:t>
      </w:r>
    </w:p>
    <w:p w14:paraId="24DD154B" w14:textId="77777777" w:rsidR="005D236D" w:rsidRPr="00B11D2D" w:rsidRDefault="005D236D" w:rsidP="005D236D">
      <w:pPr>
        <w:pStyle w:val="Odstavecseseznamem"/>
        <w:numPr>
          <w:ilvl w:val="0"/>
          <w:numId w:val="3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5086AFEB" w14:textId="77777777" w:rsidR="005D236D" w:rsidRPr="00B11D2D" w:rsidRDefault="005D236D" w:rsidP="005D236D">
      <w:pPr>
        <w:pStyle w:val="Odstavecseseznamem"/>
        <w:numPr>
          <w:ilvl w:val="0"/>
          <w:numId w:val="3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</w:t>
      </w:r>
      <w:r w:rsidRPr="00B11D2D">
        <w:rPr>
          <w:rFonts w:ascii="Arial" w:hAnsi="Arial" w:cs="Arial"/>
          <w:color w:val="00B0F0"/>
        </w:rPr>
        <w:t>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5A17A3C2" w14:textId="55F35101" w:rsidR="005D236D" w:rsidRPr="00435182" w:rsidRDefault="005D236D" w:rsidP="005D236D">
      <w:pPr>
        <w:pStyle w:val="Odstavecseseznamem"/>
        <w:numPr>
          <w:ilvl w:val="0"/>
          <w:numId w:val="3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</w:t>
      </w:r>
      <w:r w:rsidRPr="00B11D2D">
        <w:rPr>
          <w:rFonts w:ascii="Arial" w:hAnsi="Arial" w:cs="Arial"/>
          <w:color w:val="00B0F0"/>
        </w:rPr>
        <w:t>)</w:t>
      </w:r>
    </w:p>
    <w:p w14:paraId="1F7BAC4F" w14:textId="1018AE89" w:rsidR="00435182" w:rsidRDefault="00435182" w:rsidP="0043518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DEC8AB9" w14:textId="77777777" w:rsidR="00435182" w:rsidRPr="00653D29" w:rsidRDefault="00435182" w:rsidP="0043518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7F23E10" w14:textId="77777777" w:rsidR="005D236D" w:rsidRDefault="005D236D" w:rsidP="005D236D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 xml:space="preserve">Varianta 3 - zvýšení koeficientu pouze pro skupinu ostatních zdanitelných jednotek </w:t>
      </w:r>
    </w:p>
    <w:p w14:paraId="0343DDEF" w14:textId="77777777" w:rsidR="005D236D" w:rsidRDefault="005D236D" w:rsidP="005D236D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5DA5BF70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AAE0C93" w14:textId="1156D489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Zvýšení koeficientu u skupiny </w:t>
      </w:r>
      <w:r w:rsidR="003F4F73" w:rsidRPr="003F4F73">
        <w:rPr>
          <w:rFonts w:ascii="Arial" w:hAnsi="Arial" w:cs="Arial"/>
          <w:b/>
          <w:szCs w:val="24"/>
        </w:rPr>
        <w:t>ostatních zdanitelných jednotek</w:t>
      </w:r>
    </w:p>
    <w:p w14:paraId="42252890" w14:textId="4C77F912" w:rsidR="005D236D" w:rsidRDefault="005D236D" w:rsidP="005D236D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zdanitelných jednotek zařazených ve skupině ostatních zdanitelných jednotek se</w:t>
      </w:r>
      <w:r w:rsidR="00A105FA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koeficient, jímž se násobí sazba daně, zvyšuje o jednu kategorii podle členění koeficientů dle </w:t>
      </w:r>
      <w:r w:rsidRPr="003F4F73">
        <w:rPr>
          <w:rFonts w:ascii="Arial" w:hAnsi="Arial" w:cs="Arial"/>
        </w:rPr>
        <w:t>§ 1</w:t>
      </w:r>
      <w:r w:rsidR="003F4F73" w:rsidRPr="003F4F73">
        <w:rPr>
          <w:rFonts w:ascii="Arial" w:hAnsi="Arial" w:cs="Arial"/>
        </w:rPr>
        <w:t>1</w:t>
      </w:r>
      <w:r w:rsidRPr="003F4F73">
        <w:rPr>
          <w:rFonts w:ascii="Arial" w:hAnsi="Arial" w:cs="Arial"/>
        </w:rPr>
        <w:t xml:space="preserve"> odst. 4</w:t>
      </w:r>
      <w:r>
        <w:rPr>
          <w:rFonts w:ascii="Arial" w:hAnsi="Arial" w:cs="Arial"/>
        </w:rPr>
        <w:t xml:space="preserve"> zákona o dani z nemovitých věcí, a to pro všechny tyto zdanitelné jednotky na území jednotlivého katastrálního území:</w:t>
      </w:r>
    </w:p>
    <w:p w14:paraId="2691E8E4" w14:textId="77777777" w:rsidR="005D236D" w:rsidRPr="00B11D2D" w:rsidRDefault="005D236D" w:rsidP="005D236D">
      <w:pPr>
        <w:pStyle w:val="Odstavecseseznamem"/>
        <w:numPr>
          <w:ilvl w:val="0"/>
          <w:numId w:val="36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46A03EBB" w14:textId="77777777" w:rsidR="005D236D" w:rsidRPr="00B11D2D" w:rsidRDefault="005D236D" w:rsidP="005D236D">
      <w:pPr>
        <w:pStyle w:val="Odstavecseseznamem"/>
        <w:numPr>
          <w:ilvl w:val="0"/>
          <w:numId w:val="36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</w:t>
      </w:r>
      <w:r w:rsidRPr="00B11D2D">
        <w:rPr>
          <w:rFonts w:ascii="Arial" w:hAnsi="Arial" w:cs="Arial"/>
          <w:color w:val="00B0F0"/>
        </w:rPr>
        <w:t>)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</w:p>
    <w:p w14:paraId="0C9365DA" w14:textId="77777777" w:rsidR="005D236D" w:rsidRPr="00B817B3" w:rsidRDefault="005D236D" w:rsidP="005D236D">
      <w:pPr>
        <w:pStyle w:val="Odstavecseseznamem"/>
        <w:numPr>
          <w:ilvl w:val="0"/>
          <w:numId w:val="36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… </w:t>
      </w:r>
      <w:r w:rsidRPr="00B11D2D">
        <w:rPr>
          <w:rFonts w:ascii="Arial" w:hAnsi="Arial" w:cs="Arial"/>
          <w:color w:val="00B0F0"/>
        </w:rPr>
        <w:t>(</w:t>
      </w:r>
      <w:r>
        <w:rPr>
          <w:rFonts w:ascii="Arial" w:hAnsi="Arial" w:cs="Arial"/>
          <w:color w:val="00B0F0"/>
        </w:rPr>
        <w:t>název katastrálního území</w:t>
      </w:r>
      <w:r w:rsidRPr="00B11D2D">
        <w:rPr>
          <w:rFonts w:ascii="Arial" w:hAnsi="Arial" w:cs="Arial"/>
          <w:color w:val="00B0F0"/>
        </w:rPr>
        <w:t>)</w:t>
      </w:r>
    </w:p>
    <w:p w14:paraId="0DB70E7A" w14:textId="77777777" w:rsidR="005D236D" w:rsidRDefault="005D236D" w:rsidP="005D236D">
      <w:pPr>
        <w:keepNext/>
        <w:spacing w:line="276" w:lineRule="auto"/>
        <w:rPr>
          <w:rFonts w:ascii="Arial" w:hAnsi="Arial" w:cs="Arial"/>
        </w:rPr>
      </w:pPr>
    </w:p>
    <w:p w14:paraId="42B30D3A" w14:textId="65DFB110" w:rsidR="005D236D" w:rsidRDefault="005D236D" w:rsidP="005D236D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841557">
        <w:rPr>
          <w:rFonts w:ascii="Arial" w:hAnsi="Arial" w:cs="Arial"/>
          <w:i/>
          <w:color w:val="00B0F0"/>
          <w:sz w:val="20"/>
          <w:szCs w:val="20"/>
        </w:rPr>
        <w:t xml:space="preserve">Poznámka: </w:t>
      </w:r>
      <w:r>
        <w:rPr>
          <w:rFonts w:ascii="Arial" w:hAnsi="Arial" w:cs="Arial"/>
          <w:i/>
          <w:color w:val="00B0F0"/>
          <w:sz w:val="20"/>
          <w:szCs w:val="20"/>
        </w:rPr>
        <w:t xml:space="preserve">S účinností od 1. ledna 2025 již obce nemohou koeficient, kterým se v případě skupiny obytných budov a skupiny ostatních zdanitelných jednotek násobí sazba daně </w:t>
      </w:r>
      <w:r w:rsidRPr="003F4F73">
        <w:rPr>
          <w:rFonts w:ascii="Arial" w:hAnsi="Arial" w:cs="Arial"/>
          <w:i/>
          <w:color w:val="00B0F0"/>
          <w:sz w:val="20"/>
          <w:szCs w:val="20"/>
        </w:rPr>
        <w:t>(§ 1</w:t>
      </w:r>
      <w:r w:rsidR="003F4F73" w:rsidRPr="003F4F73">
        <w:rPr>
          <w:rFonts w:ascii="Arial" w:hAnsi="Arial" w:cs="Arial"/>
          <w:i/>
          <w:color w:val="00B0F0"/>
          <w:sz w:val="20"/>
          <w:szCs w:val="20"/>
        </w:rPr>
        <w:t>1</w:t>
      </w:r>
      <w:r w:rsidRPr="003F4F73">
        <w:rPr>
          <w:rFonts w:ascii="Arial" w:hAnsi="Arial" w:cs="Arial"/>
          <w:i/>
          <w:color w:val="00B0F0"/>
          <w:sz w:val="20"/>
          <w:szCs w:val="20"/>
        </w:rPr>
        <w:t xml:space="preserve"> odst. 4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zákona o dani z nemovitých věcí), </w:t>
      </w:r>
      <w:r w:rsidRPr="00353986">
        <w:rPr>
          <w:rFonts w:ascii="Arial" w:hAnsi="Arial" w:cs="Arial"/>
          <w:i/>
          <w:color w:val="00B0F0"/>
          <w:sz w:val="20"/>
          <w:szCs w:val="20"/>
        </w:rPr>
        <w:t>snižovat o jednu až tři kategorie dolů</w:t>
      </w:r>
      <w:r>
        <w:rPr>
          <w:rFonts w:ascii="Arial" w:hAnsi="Arial" w:cs="Arial"/>
          <w:i/>
          <w:color w:val="00B0F0"/>
          <w:sz w:val="20"/>
          <w:szCs w:val="20"/>
        </w:rPr>
        <w:t>. Nově lze předmětný koeficient pouze o jednu kategorii zvýšit. Pro snížení daně v případě skupin obytných budov a ostatních zdanitelných jednotek obec může využít stanovení místního koeficientu pro tyto skupiny nemovitých věcí v hodnotách od 0,5 do 0,9</w:t>
      </w:r>
      <w:r w:rsidR="00A105FA">
        <w:rPr>
          <w:rFonts w:ascii="Arial" w:hAnsi="Arial" w:cs="Arial"/>
          <w:i/>
          <w:color w:val="00B0F0"/>
          <w:sz w:val="20"/>
          <w:szCs w:val="20"/>
        </w:rPr>
        <w:t xml:space="preserve"> [§ 12 odst. 1 písm. a) bod 4 ve spojení s § 10a odst. 1 písm. a) a h) zákona o dani z nemovitých věcí].</w:t>
      </w:r>
    </w:p>
    <w:p w14:paraId="6A0F38AB" w14:textId="5198AE25" w:rsidR="005D236D" w:rsidRDefault="005D236D" w:rsidP="005D236D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 xml:space="preserve">Obcím se nedoporučuje v obecně závazných vyhláškách uvádět konkrétní hodnotu, na níž je koeficient dle </w:t>
      </w:r>
      <w:r w:rsidRPr="003F4F73">
        <w:rPr>
          <w:rFonts w:ascii="Arial" w:hAnsi="Arial" w:cs="Arial"/>
          <w:i/>
          <w:color w:val="00B0F0"/>
          <w:sz w:val="20"/>
          <w:szCs w:val="20"/>
        </w:rPr>
        <w:t>§ 1</w:t>
      </w:r>
      <w:r w:rsidR="003F4F73" w:rsidRPr="003F4F73">
        <w:rPr>
          <w:rFonts w:ascii="Arial" w:hAnsi="Arial" w:cs="Arial"/>
          <w:i/>
          <w:color w:val="00B0F0"/>
          <w:sz w:val="20"/>
          <w:szCs w:val="20"/>
        </w:rPr>
        <w:t>1</w:t>
      </w:r>
      <w:r w:rsidRPr="003F4F73">
        <w:rPr>
          <w:rFonts w:ascii="Arial" w:hAnsi="Arial" w:cs="Arial"/>
          <w:i/>
          <w:color w:val="00B0F0"/>
          <w:sz w:val="20"/>
          <w:szCs w:val="20"/>
        </w:rPr>
        <w:t xml:space="preserve"> odst. 4</w:t>
      </w:r>
      <w:r>
        <w:rPr>
          <w:rFonts w:ascii="Arial" w:hAnsi="Arial" w:cs="Arial"/>
          <w:i/>
          <w:color w:val="00B0F0"/>
          <w:sz w:val="20"/>
          <w:szCs w:val="20"/>
        </w:rPr>
        <w:t xml:space="preserve"> zákona o dani z nemovitých věcí navyšován, a to z důvodu, že v důsledku změn v počtu obyvatel obce může v následujících letech dojít k přeřazení obce do jiné kategorie zákonného koeficientu a podle obecně závazné vyhlášky tak již nebude možné postupovat. Vhodnější je proto pouze obecně stanovit, že se koeficient „zvyšuje o jednu kategorii“.</w:t>
      </w:r>
    </w:p>
    <w:p w14:paraId="64FDE6B7" w14:textId="77777777" w:rsidR="005D236D" w:rsidRPr="00841557" w:rsidRDefault="005D236D" w:rsidP="005D236D">
      <w:pPr>
        <w:keepNext/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t>S účinností od 1. ledna 2025 obce nemohou předmětný koeficient upravovat pro variabilně vymezené území, ale toliko pro jednotlivá katastrální území, která musí být jednoznačně označena jejich názvem (lze případně doplnit i kód katastrálního území). Nadále tedy není možné předmětný koeficient upravovat pro „části obce“ ve smyslu § 27 odst. 2 zákona o obcích (místní části, osady) označené jejich názvy, pro konkrétní ulice či pro jiným způsobem vymezené lokality.</w:t>
      </w:r>
    </w:p>
    <w:p w14:paraId="7B88D836" w14:textId="77777777" w:rsidR="005D236D" w:rsidRPr="00900ACE" w:rsidRDefault="005D236D" w:rsidP="005D236D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BDB98BC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27F4DB9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8D57B7D" w14:textId="77777777" w:rsidR="005D236D" w:rsidRPr="0062486B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(města, městyse) …</w:t>
      </w:r>
      <w:r w:rsidRPr="0062486B">
        <w:rPr>
          <w:rFonts w:ascii="Arial" w:hAnsi="Arial" w:cs="Arial"/>
        </w:rPr>
        <w:t xml:space="preserve"> č. …</w:t>
      </w:r>
      <w:r>
        <w:rPr>
          <w:rFonts w:ascii="Arial" w:hAnsi="Arial" w:cs="Arial"/>
        </w:rPr>
        <w:t>/…</w:t>
      </w:r>
      <w:r w:rsidRPr="0062486B">
        <w:rPr>
          <w:rFonts w:ascii="Arial" w:hAnsi="Arial" w:cs="Arial"/>
        </w:rPr>
        <w:t xml:space="preserve">, … </w:t>
      </w:r>
      <w:r w:rsidRPr="00A451FE">
        <w:rPr>
          <w:rFonts w:ascii="Arial" w:hAnsi="Arial" w:cs="Arial"/>
          <w:i/>
          <w:color w:val="00B0F0"/>
        </w:rPr>
        <w:t>(uvede se číslo a přesný název zrušované obecně závazné vyhlášky)</w:t>
      </w:r>
      <w:r w:rsidRPr="0062486B">
        <w:rPr>
          <w:rFonts w:ascii="Arial" w:hAnsi="Arial" w:cs="Arial"/>
        </w:rPr>
        <w:t xml:space="preserve">, ze dne … </w:t>
      </w:r>
      <w:r w:rsidRPr="00A451FE">
        <w:rPr>
          <w:rFonts w:ascii="Arial" w:hAnsi="Arial" w:cs="Arial"/>
          <w:i/>
          <w:color w:val="00B0F0"/>
        </w:rPr>
        <w:t>(uvede se datum vydání = datum schválení zastupitelstvem)</w:t>
      </w:r>
      <w:r w:rsidRPr="0062486B">
        <w:rPr>
          <w:rFonts w:ascii="Arial" w:hAnsi="Arial" w:cs="Arial"/>
        </w:rPr>
        <w:t>.</w:t>
      </w:r>
    </w:p>
    <w:p w14:paraId="2C8518E8" w14:textId="77777777" w:rsidR="00435182" w:rsidRDefault="00435182" w:rsidP="005D236D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140EF476" w14:textId="77777777" w:rsidR="005D236D" w:rsidRPr="005F7FAE" w:rsidRDefault="005D236D" w:rsidP="005D23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C51B07" w14:textId="77777777" w:rsidR="005D236D" w:rsidRPr="00834C11" w:rsidRDefault="005D236D" w:rsidP="005D23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50AA8BF2" w14:textId="77777777" w:rsidR="005D236D" w:rsidRDefault="005D236D" w:rsidP="005D236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… </w:t>
      </w:r>
      <w:r w:rsidRPr="00C201D1">
        <w:rPr>
          <w:rFonts w:ascii="Arial" w:hAnsi="Arial" w:cs="Arial"/>
          <w:i/>
          <w:iCs/>
          <w:color w:val="00B0F0"/>
        </w:rPr>
        <w:t>(doplní se rok)</w:t>
      </w:r>
      <w:r>
        <w:rPr>
          <w:rFonts w:ascii="Arial" w:hAnsi="Arial" w:cs="Arial"/>
        </w:rPr>
        <w:t>.</w:t>
      </w:r>
    </w:p>
    <w:p w14:paraId="39C7A9CB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3BC99348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3F241662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667B96A6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</w:pPr>
    </w:p>
    <w:p w14:paraId="2E4F5179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  <w:sectPr w:rsidR="005D236D" w:rsidRPr="0062486B" w:rsidSect="007F3121">
          <w:footerReference w:type="default" r:id="rId13"/>
          <w:footnotePr>
            <w:numRestart w:val="eachSect"/>
          </w:footnotePr>
          <w:type w:val="continuous"/>
          <w:pgSz w:w="11906" w:h="16838"/>
          <w:pgMar w:top="1417" w:right="1417" w:bottom="2127" w:left="1417" w:header="708" w:footer="708" w:gutter="0"/>
          <w:cols w:space="708"/>
          <w:docGrid w:linePitch="360"/>
        </w:sectPr>
      </w:pPr>
    </w:p>
    <w:p w14:paraId="33F54967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40DC1F8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7ED720DB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</w:p>
    <w:p w14:paraId="1E1462A1" w14:textId="77777777" w:rsidR="005D236D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</w:p>
    <w:p w14:paraId="0F1871B7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37CF27F0" w14:textId="77777777" w:rsidR="005D236D" w:rsidRPr="0062486B" w:rsidRDefault="005D236D" w:rsidP="005D236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Titul Jméno Příjmení</w:t>
      </w:r>
    </w:p>
    <w:p w14:paraId="213BED58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130D0391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754E86CC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  <w:sectPr w:rsidR="005D236D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09637FE" w14:textId="77777777" w:rsidR="005D236D" w:rsidRPr="00344EBB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Poznámka: Do Sbírky právních předpisů územních samosprávných celků a některých správních úřadů se vkládá elektronická verze vyhlášky, kdy je místo podpisu za jménem a příjmením uvedena doložka „v. r.“.</w:t>
      </w:r>
    </w:p>
    <w:p w14:paraId="7DEEFD16" w14:textId="77777777" w:rsidR="005D236D" w:rsidRPr="00344EBB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  <w:r w:rsidRPr="00344EBB">
        <w:rPr>
          <w:rFonts w:ascii="Arial" w:hAnsi="Arial" w:cs="Arial"/>
          <w:i/>
          <w:color w:val="00B0F0"/>
          <w:sz w:val="20"/>
          <w:szCs w:val="20"/>
        </w:rPr>
        <w:t>Upozornění: Obec má ve smyslu § 3 odst. 2 zákona č. 35/2021 Sb., o Sbírce právních předpisů územních samosprávných celků a některých správních úřadů, povinnost po obdržení vyrozumění ze strany Ministerstva vnitra zveřejnit na své úřední desce po dobu alespoň 15 dnů oznámení o vyhlášení vyhlášky ve Sbírce právních předpisů územních samosprávných celků a některých správních úřadů.</w:t>
      </w:r>
    </w:p>
    <w:p w14:paraId="547031D2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6F3436CE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41275DCB" w14:textId="77777777" w:rsidR="005D236D" w:rsidRDefault="005D236D" w:rsidP="005D236D">
      <w:pPr>
        <w:spacing w:line="276" w:lineRule="auto"/>
        <w:rPr>
          <w:rFonts w:ascii="Arial" w:hAnsi="Arial" w:cs="Arial"/>
        </w:rPr>
        <w:sectPr w:rsidR="005D236D" w:rsidSect="00B817B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461063" w14:textId="77777777" w:rsidR="005D236D" w:rsidRPr="0062486B" w:rsidRDefault="005D236D" w:rsidP="005D236D">
      <w:pPr>
        <w:spacing w:line="276" w:lineRule="auto"/>
        <w:rPr>
          <w:rFonts w:ascii="Arial" w:hAnsi="Arial" w:cs="Arial"/>
        </w:rPr>
        <w:sectPr w:rsidR="005D236D" w:rsidRPr="0062486B" w:rsidSect="00B817B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DD40925" w14:textId="77777777" w:rsidR="005D236D" w:rsidRPr="00344EBB" w:rsidRDefault="005D236D" w:rsidP="005D236D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031B5AB" w14:textId="4E13368A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4CF83E4E" w14:textId="77777777" w:rsidR="005D236D" w:rsidRDefault="005D236D" w:rsidP="005D236D">
      <w:pPr>
        <w:spacing w:line="276" w:lineRule="auto"/>
        <w:jc w:val="center"/>
        <w:rPr>
          <w:rFonts w:ascii="Arial" w:hAnsi="Arial" w:cs="Arial"/>
        </w:rPr>
      </w:pPr>
    </w:p>
    <w:p w14:paraId="14E40645" w14:textId="77777777" w:rsidR="005D236D" w:rsidRDefault="005D236D" w:rsidP="005D236D">
      <w:pPr>
        <w:spacing w:line="276" w:lineRule="auto"/>
        <w:rPr>
          <w:rFonts w:ascii="Arial" w:hAnsi="Arial" w:cs="Arial"/>
        </w:rPr>
        <w:sectPr w:rsidR="005D236D" w:rsidSect="005D236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A14EA0" w14:textId="77777777" w:rsidR="005D236D" w:rsidRPr="00851AAA" w:rsidRDefault="005D236D" w:rsidP="005D236D">
      <w:pPr>
        <w:spacing w:line="276" w:lineRule="auto"/>
        <w:rPr>
          <w:rFonts w:ascii="Arial" w:hAnsi="Arial" w:cs="Arial"/>
        </w:rPr>
      </w:pPr>
    </w:p>
    <w:p w14:paraId="504C81CA" w14:textId="77777777" w:rsidR="00851AAA" w:rsidRPr="00F73E98" w:rsidRDefault="00851AAA" w:rsidP="00F73E98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14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5693068C" w14:textId="0FAE723A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137D0F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16F1E6C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67442420"/>
      <w:docPartObj>
        <w:docPartGallery w:val="Page Numbers (Bottom of Page)"/>
        <w:docPartUnique/>
      </w:docPartObj>
    </w:sdtPr>
    <w:sdtEndPr/>
    <w:sdtContent>
      <w:p w14:paraId="5C20BC85" w14:textId="419CDB5A" w:rsidR="00964558" w:rsidRPr="00456B24" w:rsidRDefault="009645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ED107B" w14:textId="77777777" w:rsidR="00964558" w:rsidRDefault="0096455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2103242618"/>
      <w:docPartObj>
        <w:docPartGallery w:val="Page Numbers (Bottom of Page)"/>
        <w:docPartUnique/>
      </w:docPartObj>
    </w:sdtPr>
    <w:sdtEndPr/>
    <w:sdtContent>
      <w:p w14:paraId="15E8D180" w14:textId="3399F32A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FB9C7DC" w14:textId="77777777" w:rsidR="005D236D" w:rsidRDefault="005D236D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EndPr/>
    <w:sdtContent>
      <w:p w14:paraId="00EF5F10" w14:textId="1C8BD27B" w:rsidR="005D236D" w:rsidRPr="00456B24" w:rsidRDefault="005D23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A1EAC05" w14:textId="77777777" w:rsidR="005D236D" w:rsidRDefault="005D236D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  <w:footnote w:id="2">
    <w:p w14:paraId="03465E53" w14:textId="7289D510" w:rsidR="00964558" w:rsidRPr="00964558" w:rsidRDefault="00964558" w:rsidP="0096455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0945A1"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3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  <w:footnote w:id="4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5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6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2</w:t>
      </w:r>
      <w:r w:rsidRPr="00964558">
        <w:rPr>
          <w:rFonts w:ascii="Arial" w:hAnsi="Arial" w:cs="Arial"/>
          <w:sz w:val="18"/>
          <w:szCs w:val="18"/>
        </w:rPr>
        <w:t xml:space="preserve"> a 6 zákona o dani z nemovitých věcí.</w:t>
      </w:r>
    </w:p>
  </w:footnote>
  <w:footnote w:id="7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8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08843">
    <w:abstractNumId w:val="3"/>
  </w:num>
  <w:num w:numId="2" w16cid:durableId="1783452120">
    <w:abstractNumId w:val="5"/>
  </w:num>
  <w:num w:numId="3" w16cid:durableId="667253965">
    <w:abstractNumId w:val="4"/>
  </w:num>
  <w:num w:numId="4" w16cid:durableId="59712188">
    <w:abstractNumId w:val="28"/>
  </w:num>
  <w:num w:numId="5" w16cid:durableId="1425953104">
    <w:abstractNumId w:val="17"/>
  </w:num>
  <w:num w:numId="6" w16cid:durableId="1156147659">
    <w:abstractNumId w:val="21"/>
  </w:num>
  <w:num w:numId="7" w16cid:durableId="932710417">
    <w:abstractNumId w:val="33"/>
  </w:num>
  <w:num w:numId="8" w16cid:durableId="382221951">
    <w:abstractNumId w:val="25"/>
  </w:num>
  <w:num w:numId="9" w16cid:durableId="407507084">
    <w:abstractNumId w:val="18"/>
  </w:num>
  <w:num w:numId="10" w16cid:durableId="1277636940">
    <w:abstractNumId w:val="20"/>
  </w:num>
  <w:num w:numId="11" w16cid:durableId="444740315">
    <w:abstractNumId w:val="0"/>
  </w:num>
  <w:num w:numId="12" w16cid:durableId="1997025281">
    <w:abstractNumId w:val="19"/>
  </w:num>
  <w:num w:numId="13" w16cid:durableId="916672182">
    <w:abstractNumId w:val="8"/>
  </w:num>
  <w:num w:numId="14" w16cid:durableId="397481763">
    <w:abstractNumId w:val="30"/>
  </w:num>
  <w:num w:numId="15" w16cid:durableId="353579532">
    <w:abstractNumId w:val="26"/>
  </w:num>
  <w:num w:numId="16" w16cid:durableId="1740328846">
    <w:abstractNumId w:val="13"/>
  </w:num>
  <w:num w:numId="17" w16cid:durableId="2061586120">
    <w:abstractNumId w:val="23"/>
  </w:num>
  <w:num w:numId="18" w16cid:durableId="382483485">
    <w:abstractNumId w:val="1"/>
  </w:num>
  <w:num w:numId="19" w16cid:durableId="601301545">
    <w:abstractNumId w:val="34"/>
  </w:num>
  <w:num w:numId="20" w16cid:durableId="633020266">
    <w:abstractNumId w:val="31"/>
  </w:num>
  <w:num w:numId="21" w16cid:durableId="772869903">
    <w:abstractNumId w:val="24"/>
  </w:num>
  <w:num w:numId="22" w16cid:durableId="1502313710">
    <w:abstractNumId w:val="12"/>
  </w:num>
  <w:num w:numId="23" w16cid:durableId="1977493984">
    <w:abstractNumId w:val="29"/>
  </w:num>
  <w:num w:numId="24" w16cid:durableId="1706716690">
    <w:abstractNumId w:val="9"/>
  </w:num>
  <w:num w:numId="25" w16cid:durableId="1011418563">
    <w:abstractNumId w:val="6"/>
  </w:num>
  <w:num w:numId="26" w16cid:durableId="626666645">
    <w:abstractNumId w:val="2"/>
  </w:num>
  <w:num w:numId="27" w16cid:durableId="1809014007">
    <w:abstractNumId w:val="32"/>
  </w:num>
  <w:num w:numId="28" w16cid:durableId="2001158162">
    <w:abstractNumId w:val="27"/>
  </w:num>
  <w:num w:numId="29" w16cid:durableId="222369599">
    <w:abstractNumId w:val="35"/>
  </w:num>
  <w:num w:numId="30" w16cid:durableId="1382438917">
    <w:abstractNumId w:val="11"/>
  </w:num>
  <w:num w:numId="31" w16cid:durableId="2139687083">
    <w:abstractNumId w:val="15"/>
  </w:num>
  <w:num w:numId="32" w16cid:durableId="527527802">
    <w:abstractNumId w:val="7"/>
  </w:num>
  <w:num w:numId="33" w16cid:durableId="2041665842">
    <w:abstractNumId w:val="14"/>
  </w:num>
  <w:num w:numId="34" w16cid:durableId="5135795">
    <w:abstractNumId w:val="22"/>
  </w:num>
  <w:num w:numId="35" w16cid:durableId="1878466639">
    <w:abstractNumId w:val="10"/>
  </w:num>
  <w:num w:numId="36" w16cid:durableId="286930793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4107</Words>
  <Characters>24236</Characters>
  <Application>Microsoft Office Word</Application>
  <DocSecurity>0</DocSecurity>
  <Lines>201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28287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Masopustová Ilona</cp:lastModifiedBy>
  <cp:revision>2</cp:revision>
  <dcterms:created xsi:type="dcterms:W3CDTF">2024-04-08T08:01:00Z</dcterms:created>
  <dcterms:modified xsi:type="dcterms:W3CDTF">2024-04-08T08:01:00Z</dcterms:modified>
</cp:coreProperties>
</file>