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37EE" w14:textId="44CE0ABB" w:rsidR="00F86462" w:rsidRPr="00F86462" w:rsidRDefault="00F86462" w:rsidP="00F86462">
      <w:pPr>
        <w:spacing w:after="0" w:line="240" w:lineRule="auto"/>
        <w:jc w:val="center"/>
        <w:rPr>
          <w:rFonts w:ascii="Cambria" w:hAnsi="Cambria"/>
          <w:b/>
          <w:bCs/>
          <w:sz w:val="24"/>
          <w:szCs w:val="24"/>
          <w:lang w:val="en-GB"/>
        </w:rPr>
      </w:pPr>
      <w:r w:rsidRPr="00F86462">
        <w:rPr>
          <w:rFonts w:ascii="Cambria" w:hAnsi="Cambria"/>
          <w:b/>
          <w:bCs/>
          <w:sz w:val="24"/>
          <w:szCs w:val="24"/>
          <w:lang w:val="en-GB"/>
        </w:rPr>
        <w:t>Summary of the 1</w:t>
      </w:r>
      <w:r w:rsidRPr="00F86462">
        <w:rPr>
          <w:rFonts w:ascii="Cambria" w:hAnsi="Cambria"/>
          <w:b/>
          <w:bCs/>
          <w:sz w:val="24"/>
          <w:szCs w:val="24"/>
          <w:vertAlign w:val="superscript"/>
          <w:lang w:val="en-GB"/>
        </w:rPr>
        <w:t>st</w:t>
      </w:r>
      <w:r w:rsidRPr="00F86462">
        <w:rPr>
          <w:rFonts w:ascii="Cambria" w:hAnsi="Cambria"/>
          <w:b/>
          <w:bCs/>
          <w:sz w:val="24"/>
          <w:szCs w:val="24"/>
          <w:lang w:val="en-GB"/>
        </w:rPr>
        <w:t xml:space="preserve"> Action Planning Network call under URBACT IV.</w:t>
      </w:r>
    </w:p>
    <w:p w14:paraId="5C4E7526" w14:textId="19B5D40A" w:rsidR="00F55C2D" w:rsidRPr="00F86462" w:rsidRDefault="00F86462" w:rsidP="00F86462">
      <w:pPr>
        <w:spacing w:after="0" w:line="240" w:lineRule="auto"/>
        <w:jc w:val="both"/>
        <w:rPr>
          <w:rFonts w:ascii="Cambria" w:hAnsi="Cambria"/>
          <w:lang w:val="en-GB"/>
        </w:rPr>
      </w:pPr>
      <w:r>
        <w:rPr>
          <w:rFonts w:ascii="Cambria" w:hAnsi="Cambria"/>
          <w:lang w:val="en-GB"/>
        </w:rPr>
        <w:t xml:space="preserve"> </w:t>
      </w:r>
    </w:p>
    <w:p w14:paraId="4BB52BF8" w14:textId="2786BEB3" w:rsidR="00F55C2D" w:rsidRDefault="00F55C2D" w:rsidP="00F86462">
      <w:pPr>
        <w:pStyle w:val="Default"/>
        <w:jc w:val="both"/>
        <w:rPr>
          <w:sz w:val="22"/>
          <w:szCs w:val="22"/>
          <w:lang w:val="en-GB"/>
        </w:rPr>
      </w:pPr>
    </w:p>
    <w:p w14:paraId="774EA41A" w14:textId="27DC9EB3" w:rsidR="00F86462" w:rsidRPr="00F86462" w:rsidRDefault="00F86462" w:rsidP="00F86462">
      <w:pPr>
        <w:pStyle w:val="Default"/>
        <w:jc w:val="both"/>
        <w:rPr>
          <w:b/>
          <w:bCs/>
          <w:sz w:val="22"/>
          <w:szCs w:val="22"/>
          <w:u w:val="single"/>
          <w:lang w:val="en-GB"/>
        </w:rPr>
      </w:pPr>
      <w:r w:rsidRPr="00F86462">
        <w:rPr>
          <w:b/>
          <w:bCs/>
          <w:sz w:val="22"/>
          <w:szCs w:val="22"/>
          <w:u w:val="single"/>
          <w:lang w:val="en-GB"/>
        </w:rPr>
        <w:t>DEADLINE</w:t>
      </w:r>
    </w:p>
    <w:p w14:paraId="72FBDC04" w14:textId="77777777" w:rsidR="00F86462" w:rsidRDefault="00F86462" w:rsidP="00F86462">
      <w:pPr>
        <w:pStyle w:val="Default"/>
        <w:jc w:val="both"/>
        <w:rPr>
          <w:sz w:val="22"/>
          <w:szCs w:val="22"/>
          <w:lang w:val="en-GB"/>
        </w:rPr>
      </w:pPr>
    </w:p>
    <w:p w14:paraId="06BC6057" w14:textId="3621872E" w:rsidR="00F55C2D" w:rsidRDefault="00F86462" w:rsidP="00F86462">
      <w:pPr>
        <w:pStyle w:val="Default"/>
        <w:numPr>
          <w:ilvl w:val="0"/>
          <w:numId w:val="9"/>
        </w:numPr>
        <w:jc w:val="both"/>
        <w:rPr>
          <w:sz w:val="22"/>
          <w:szCs w:val="22"/>
          <w:lang w:val="en-GB"/>
        </w:rPr>
      </w:pPr>
      <w:r>
        <w:rPr>
          <w:sz w:val="22"/>
          <w:szCs w:val="22"/>
          <w:lang w:val="en-GB"/>
        </w:rPr>
        <w:t xml:space="preserve">The call is </w:t>
      </w:r>
      <w:r w:rsidR="00F55C2D" w:rsidRPr="00F86462">
        <w:rPr>
          <w:sz w:val="22"/>
          <w:szCs w:val="22"/>
          <w:lang w:val="en-GB"/>
        </w:rPr>
        <w:t>open between</w:t>
      </w:r>
      <w:r>
        <w:rPr>
          <w:sz w:val="22"/>
          <w:szCs w:val="22"/>
          <w:lang w:val="en-GB"/>
        </w:rPr>
        <w:t xml:space="preserve"> </w:t>
      </w:r>
      <w:r w:rsidR="00F55C2D" w:rsidRPr="00F86462">
        <w:rPr>
          <w:sz w:val="22"/>
          <w:szCs w:val="22"/>
          <w:lang w:val="en-GB"/>
        </w:rPr>
        <w:t xml:space="preserve">09 January 2023 – 31 March 2023 </w:t>
      </w:r>
      <w:r>
        <w:rPr>
          <w:sz w:val="22"/>
          <w:szCs w:val="22"/>
          <w:lang w:val="en-GB"/>
        </w:rPr>
        <w:t>(</w:t>
      </w:r>
      <w:r w:rsidR="00F55C2D" w:rsidRPr="00F86462">
        <w:rPr>
          <w:sz w:val="22"/>
          <w:szCs w:val="22"/>
          <w:lang w:val="en-GB"/>
        </w:rPr>
        <w:t>15.00 CET</w:t>
      </w:r>
      <w:r>
        <w:rPr>
          <w:sz w:val="22"/>
          <w:szCs w:val="22"/>
          <w:lang w:val="en-GB"/>
        </w:rPr>
        <w:t>)</w:t>
      </w:r>
    </w:p>
    <w:p w14:paraId="3F4BC97A" w14:textId="5A344A32" w:rsidR="00D61D59" w:rsidRDefault="00F02CCA" w:rsidP="00F86462">
      <w:pPr>
        <w:pStyle w:val="Default"/>
        <w:numPr>
          <w:ilvl w:val="0"/>
          <w:numId w:val="9"/>
        </w:numPr>
        <w:jc w:val="both"/>
        <w:rPr>
          <w:sz w:val="22"/>
          <w:szCs w:val="22"/>
          <w:lang w:val="en-GB"/>
        </w:rPr>
      </w:pPr>
      <w:r>
        <w:rPr>
          <w:sz w:val="22"/>
          <w:szCs w:val="22"/>
          <w:lang w:val="en-GB"/>
        </w:rPr>
        <w:t xml:space="preserve">According to the website </w:t>
      </w:r>
      <w:r w:rsidR="00D61D59">
        <w:rPr>
          <w:sz w:val="22"/>
          <w:szCs w:val="22"/>
          <w:lang w:val="en-GB"/>
        </w:rPr>
        <w:t>30 networks will be selected (starting on 1 June 2023)</w:t>
      </w:r>
    </w:p>
    <w:p w14:paraId="096A9511" w14:textId="58E55257" w:rsidR="00F86462" w:rsidRDefault="00F86462" w:rsidP="00F86462">
      <w:pPr>
        <w:pStyle w:val="Default"/>
        <w:jc w:val="both"/>
        <w:rPr>
          <w:sz w:val="22"/>
          <w:szCs w:val="22"/>
          <w:lang w:val="en-GB"/>
        </w:rPr>
      </w:pPr>
    </w:p>
    <w:p w14:paraId="7094B10A" w14:textId="55C0F891" w:rsidR="00F86462" w:rsidRPr="00F86462" w:rsidRDefault="00F86462" w:rsidP="00F86462">
      <w:pPr>
        <w:pStyle w:val="Default"/>
        <w:jc w:val="both"/>
        <w:rPr>
          <w:b/>
          <w:bCs/>
          <w:sz w:val="22"/>
          <w:szCs w:val="22"/>
          <w:u w:val="single"/>
          <w:lang w:val="en-GB"/>
        </w:rPr>
      </w:pPr>
      <w:r w:rsidRPr="00F86462">
        <w:rPr>
          <w:b/>
          <w:bCs/>
          <w:sz w:val="22"/>
          <w:szCs w:val="22"/>
          <w:u w:val="single"/>
          <w:lang w:val="en-GB"/>
        </w:rPr>
        <w:t>GENERAL GOAL OF APN NETWORKS</w:t>
      </w:r>
    </w:p>
    <w:p w14:paraId="58D1782A" w14:textId="77777777" w:rsidR="00F86462" w:rsidRPr="00F86462" w:rsidRDefault="00F86462" w:rsidP="00F86462">
      <w:pPr>
        <w:pStyle w:val="Default"/>
        <w:jc w:val="both"/>
        <w:rPr>
          <w:sz w:val="22"/>
          <w:szCs w:val="22"/>
          <w:lang w:val="en-GB"/>
        </w:rPr>
      </w:pPr>
    </w:p>
    <w:p w14:paraId="0120BE50" w14:textId="788B5036" w:rsidR="00F55C2D" w:rsidRPr="00F86462" w:rsidRDefault="00F55C2D" w:rsidP="00F86462">
      <w:pPr>
        <w:pStyle w:val="Default"/>
        <w:numPr>
          <w:ilvl w:val="0"/>
          <w:numId w:val="9"/>
        </w:numPr>
        <w:jc w:val="both"/>
        <w:rPr>
          <w:sz w:val="22"/>
          <w:szCs w:val="22"/>
          <w:lang w:val="en-GB"/>
        </w:rPr>
      </w:pPr>
      <w:r w:rsidRPr="00F86462">
        <w:rPr>
          <w:sz w:val="22"/>
          <w:szCs w:val="22"/>
          <w:lang w:val="en-GB"/>
        </w:rPr>
        <w:t>Through exchange and learning with European peers, cities can develop and test solutions to the challenges they have identified. Using the URBACT Method of transnational exchange, integrated and participatory approach and co-creation, the cities will develop strong Integrated Action Plans at local level to include concrete actions to deal with the challenge identified. Ultimately, the cities will improve their integrated urban policies and the delivery of these policies on the ground.</w:t>
      </w:r>
    </w:p>
    <w:p w14:paraId="6EA1D8E4" w14:textId="7BDEB6CC" w:rsidR="00F55C2D" w:rsidRDefault="00F55C2D" w:rsidP="00F86462">
      <w:pPr>
        <w:spacing w:after="0" w:line="240" w:lineRule="auto"/>
        <w:jc w:val="both"/>
        <w:rPr>
          <w:rFonts w:ascii="Cambria" w:hAnsi="Cambria"/>
          <w:lang w:val="en-GB"/>
        </w:rPr>
      </w:pPr>
    </w:p>
    <w:p w14:paraId="2E4A07EF" w14:textId="670CADB6" w:rsidR="00F86462" w:rsidRPr="00F86462" w:rsidRDefault="00F86462" w:rsidP="00F86462">
      <w:pPr>
        <w:pStyle w:val="Default"/>
        <w:jc w:val="both"/>
        <w:rPr>
          <w:b/>
          <w:bCs/>
          <w:sz w:val="22"/>
          <w:szCs w:val="22"/>
          <w:u w:val="single"/>
          <w:lang w:val="en-GB"/>
        </w:rPr>
      </w:pPr>
      <w:r w:rsidRPr="00F86462">
        <w:rPr>
          <w:b/>
          <w:bCs/>
          <w:sz w:val="22"/>
          <w:szCs w:val="22"/>
          <w:u w:val="single"/>
          <w:lang w:val="en-GB"/>
        </w:rPr>
        <w:t xml:space="preserve">URBACT IV </w:t>
      </w:r>
      <w:r>
        <w:rPr>
          <w:b/>
          <w:bCs/>
          <w:sz w:val="22"/>
          <w:szCs w:val="22"/>
          <w:u w:val="single"/>
          <w:lang w:val="en-GB"/>
        </w:rPr>
        <w:t>PROGRAMME AREA</w:t>
      </w:r>
    </w:p>
    <w:p w14:paraId="691F398F" w14:textId="77777777" w:rsidR="00F86462" w:rsidRPr="00F86462" w:rsidRDefault="00F86462" w:rsidP="00F86462">
      <w:pPr>
        <w:pStyle w:val="Default"/>
        <w:jc w:val="both"/>
        <w:rPr>
          <w:sz w:val="22"/>
          <w:szCs w:val="22"/>
          <w:lang w:val="en-GB"/>
        </w:rPr>
      </w:pPr>
    </w:p>
    <w:p w14:paraId="6DF005B4" w14:textId="77777777" w:rsidR="00F86462" w:rsidRPr="00F86462" w:rsidRDefault="00F86462" w:rsidP="006954DB">
      <w:pPr>
        <w:pStyle w:val="Default"/>
        <w:numPr>
          <w:ilvl w:val="0"/>
          <w:numId w:val="9"/>
        </w:numPr>
        <w:spacing w:after="120"/>
        <w:ind w:left="714" w:hanging="357"/>
        <w:jc w:val="both"/>
        <w:rPr>
          <w:sz w:val="22"/>
          <w:szCs w:val="22"/>
          <w:lang w:val="en-GB"/>
        </w:rPr>
      </w:pPr>
      <w:r w:rsidRPr="00F86462">
        <w:rPr>
          <w:sz w:val="22"/>
          <w:szCs w:val="22"/>
          <w:lang w:val="en-GB"/>
        </w:rPr>
        <w:t xml:space="preserve">The 27 EU Member States </w:t>
      </w:r>
    </w:p>
    <w:p w14:paraId="2454628B" w14:textId="053E0DDE" w:rsidR="00F86462" w:rsidRPr="00F86462" w:rsidRDefault="00F86462" w:rsidP="006954DB">
      <w:pPr>
        <w:pStyle w:val="Default"/>
        <w:numPr>
          <w:ilvl w:val="0"/>
          <w:numId w:val="9"/>
        </w:numPr>
        <w:spacing w:after="120"/>
        <w:ind w:left="714" w:hanging="357"/>
        <w:jc w:val="both"/>
        <w:rPr>
          <w:sz w:val="22"/>
          <w:szCs w:val="22"/>
          <w:lang w:val="en-GB"/>
        </w:rPr>
      </w:pPr>
      <w:r w:rsidRPr="00F86462">
        <w:rPr>
          <w:sz w:val="22"/>
          <w:szCs w:val="22"/>
          <w:lang w:val="en-GB"/>
        </w:rPr>
        <w:t>Partner States Norway and Switzerland. They can be co-financed at 50% by a national fund (no ERDF funding). Partners from Norway may participate in Action Planning Networks with Norwegian national funds covering up to 50% of the costs.</w:t>
      </w:r>
    </w:p>
    <w:p w14:paraId="5455238B" w14:textId="77777777" w:rsidR="00F86462" w:rsidRPr="00F86462" w:rsidRDefault="00F86462" w:rsidP="006954DB">
      <w:pPr>
        <w:pStyle w:val="Default"/>
        <w:numPr>
          <w:ilvl w:val="0"/>
          <w:numId w:val="9"/>
        </w:numPr>
        <w:spacing w:after="120"/>
        <w:ind w:left="714" w:hanging="357"/>
        <w:jc w:val="both"/>
        <w:rPr>
          <w:sz w:val="22"/>
          <w:szCs w:val="22"/>
          <w:lang w:val="en-GB"/>
        </w:rPr>
      </w:pPr>
      <w:r w:rsidRPr="00F86462">
        <w:rPr>
          <w:sz w:val="22"/>
          <w:szCs w:val="22"/>
          <w:lang w:val="en-GB"/>
        </w:rPr>
        <w:t xml:space="preserve">The Instrument for Pre-Accession Assistance (IPA) countries: Albania, Bosnia and Herzegovina, Montenegro, North </w:t>
      </w:r>
      <w:proofErr w:type="gramStart"/>
      <w:r w:rsidRPr="00F86462">
        <w:rPr>
          <w:sz w:val="22"/>
          <w:szCs w:val="22"/>
          <w:lang w:val="en-GB"/>
        </w:rPr>
        <w:t>Macedonia</w:t>
      </w:r>
      <w:proofErr w:type="gramEnd"/>
      <w:r w:rsidRPr="00F86462">
        <w:rPr>
          <w:sz w:val="22"/>
          <w:szCs w:val="22"/>
          <w:lang w:val="en-GB"/>
        </w:rPr>
        <w:t xml:space="preserve"> and Serbia. Partners from IPA countries can participate in operations using IPA funding, without receiving ERDF co-financing. </w:t>
      </w:r>
    </w:p>
    <w:p w14:paraId="61417C69" w14:textId="6C423D2D" w:rsidR="00F86462" w:rsidRPr="00F86462" w:rsidRDefault="00F86462" w:rsidP="006954DB">
      <w:pPr>
        <w:pStyle w:val="Default"/>
        <w:numPr>
          <w:ilvl w:val="0"/>
          <w:numId w:val="9"/>
        </w:numPr>
        <w:spacing w:after="120"/>
        <w:ind w:left="714" w:hanging="357"/>
        <w:jc w:val="both"/>
        <w:rPr>
          <w:sz w:val="22"/>
          <w:szCs w:val="22"/>
          <w:lang w:val="en-GB"/>
        </w:rPr>
      </w:pPr>
      <w:r w:rsidRPr="00F86462">
        <w:rPr>
          <w:sz w:val="22"/>
          <w:szCs w:val="22"/>
          <w:lang w:val="en-GB"/>
        </w:rPr>
        <w:t xml:space="preserve">Other countries. Partners from other countries, anywhere in the world, can participate with their own funding </w:t>
      </w:r>
    </w:p>
    <w:p w14:paraId="284EBE15" w14:textId="77777777" w:rsidR="00F86462" w:rsidRPr="00F86462" w:rsidRDefault="00F86462" w:rsidP="00F86462">
      <w:pPr>
        <w:spacing w:after="0" w:line="240" w:lineRule="auto"/>
        <w:jc w:val="both"/>
        <w:rPr>
          <w:rFonts w:ascii="Cambria" w:hAnsi="Cambria"/>
          <w:lang w:val="en-GB"/>
        </w:rPr>
      </w:pPr>
    </w:p>
    <w:p w14:paraId="190B9511" w14:textId="581C433E" w:rsidR="00F86462" w:rsidRPr="006954DB" w:rsidRDefault="00F86462" w:rsidP="006954DB">
      <w:pPr>
        <w:pStyle w:val="Default"/>
        <w:jc w:val="both"/>
        <w:rPr>
          <w:b/>
          <w:bCs/>
          <w:sz w:val="22"/>
          <w:szCs w:val="22"/>
          <w:u w:val="single"/>
          <w:lang w:val="en-GB"/>
        </w:rPr>
      </w:pPr>
      <w:r w:rsidRPr="006954DB">
        <w:rPr>
          <w:b/>
          <w:bCs/>
          <w:sz w:val="22"/>
          <w:szCs w:val="22"/>
          <w:u w:val="single"/>
          <w:lang w:val="en-GB"/>
        </w:rPr>
        <w:t xml:space="preserve">SPECIFIC ISSUES TO BE CONSIDERED </w:t>
      </w:r>
      <w:r w:rsidR="006954DB">
        <w:rPr>
          <w:b/>
          <w:bCs/>
          <w:sz w:val="22"/>
          <w:szCs w:val="22"/>
          <w:u w:val="single"/>
          <w:lang w:val="en-GB"/>
        </w:rPr>
        <w:t xml:space="preserve">AS </w:t>
      </w:r>
      <w:r w:rsidRPr="006954DB">
        <w:rPr>
          <w:b/>
          <w:bCs/>
          <w:sz w:val="22"/>
          <w:szCs w:val="22"/>
          <w:u w:val="single"/>
          <w:lang w:val="en-GB"/>
        </w:rPr>
        <w:t>IMPORTANT</w:t>
      </w:r>
    </w:p>
    <w:p w14:paraId="2C8BC8A7" w14:textId="623A3293" w:rsidR="00F86462" w:rsidRDefault="00F86462" w:rsidP="00F86462">
      <w:pPr>
        <w:spacing w:after="0" w:line="240" w:lineRule="auto"/>
        <w:jc w:val="both"/>
        <w:rPr>
          <w:rFonts w:ascii="Cambria" w:hAnsi="Cambria"/>
          <w:lang w:val="en-GB"/>
        </w:rPr>
      </w:pPr>
    </w:p>
    <w:p w14:paraId="0D1B8926" w14:textId="43CF3456" w:rsidR="006954DB" w:rsidRPr="00F86462" w:rsidRDefault="006954DB" w:rsidP="006954DB">
      <w:pPr>
        <w:pStyle w:val="Default"/>
        <w:numPr>
          <w:ilvl w:val="0"/>
          <w:numId w:val="9"/>
        </w:numPr>
        <w:spacing w:after="120"/>
        <w:ind w:left="714" w:hanging="357"/>
        <w:jc w:val="both"/>
        <w:rPr>
          <w:sz w:val="22"/>
          <w:szCs w:val="22"/>
          <w:lang w:val="en-GB"/>
        </w:rPr>
      </w:pPr>
      <w:r w:rsidRPr="00F86462">
        <w:rPr>
          <w:sz w:val="22"/>
          <w:szCs w:val="22"/>
          <w:lang w:val="en-GB"/>
        </w:rPr>
        <w:t>There is no limit of population size for cities wishing to participate in URBACT activities</w:t>
      </w:r>
      <w:r>
        <w:rPr>
          <w:sz w:val="22"/>
          <w:szCs w:val="22"/>
          <w:lang w:val="en-GB"/>
        </w:rPr>
        <w:t>.</w:t>
      </w:r>
    </w:p>
    <w:p w14:paraId="03EF0228" w14:textId="16FEB57D" w:rsidR="006954DB" w:rsidRDefault="006954DB" w:rsidP="006954DB">
      <w:pPr>
        <w:pStyle w:val="Default"/>
        <w:numPr>
          <w:ilvl w:val="0"/>
          <w:numId w:val="9"/>
        </w:numPr>
        <w:spacing w:after="120"/>
        <w:ind w:left="714" w:hanging="357"/>
        <w:jc w:val="both"/>
        <w:rPr>
          <w:sz w:val="22"/>
          <w:szCs w:val="22"/>
          <w:lang w:val="en-GB"/>
        </w:rPr>
      </w:pPr>
      <w:r w:rsidRPr="00F86462">
        <w:rPr>
          <w:sz w:val="22"/>
          <w:szCs w:val="22"/>
          <w:lang w:val="en-GB"/>
        </w:rPr>
        <w:t>Cities with no previous URBACT experience are particularly invited to apply</w:t>
      </w:r>
      <w:r>
        <w:rPr>
          <w:sz w:val="22"/>
          <w:szCs w:val="22"/>
          <w:lang w:val="en-GB"/>
        </w:rPr>
        <w:t>.</w:t>
      </w:r>
    </w:p>
    <w:p w14:paraId="44853E0C" w14:textId="49B6D27E" w:rsidR="00047408" w:rsidRPr="00047408" w:rsidRDefault="00047408" w:rsidP="00047408">
      <w:pPr>
        <w:pStyle w:val="Default"/>
        <w:numPr>
          <w:ilvl w:val="0"/>
          <w:numId w:val="9"/>
        </w:numPr>
        <w:spacing w:after="120"/>
        <w:ind w:hanging="357"/>
        <w:jc w:val="both"/>
        <w:rPr>
          <w:sz w:val="22"/>
          <w:szCs w:val="22"/>
          <w:lang w:val="en-GB"/>
        </w:rPr>
      </w:pPr>
      <w:r w:rsidRPr="00F86462">
        <w:rPr>
          <w:sz w:val="22"/>
          <w:szCs w:val="22"/>
          <w:lang w:val="en-GB"/>
        </w:rPr>
        <w:t>Proposals should demonstrate added value compared to the networks already financed by URBACT in the past.</w:t>
      </w:r>
    </w:p>
    <w:p w14:paraId="789F5685" w14:textId="169952B6" w:rsidR="00F86462" w:rsidRDefault="00F86462" w:rsidP="00F86462">
      <w:pPr>
        <w:spacing w:after="0" w:line="240" w:lineRule="auto"/>
        <w:jc w:val="both"/>
        <w:rPr>
          <w:rFonts w:ascii="Cambria" w:hAnsi="Cambria"/>
          <w:lang w:val="en-GB"/>
        </w:rPr>
      </w:pPr>
    </w:p>
    <w:p w14:paraId="1306CC23" w14:textId="3CF7F17B" w:rsidR="006954DB" w:rsidRPr="006954DB" w:rsidRDefault="006954DB" w:rsidP="006954DB">
      <w:pPr>
        <w:pStyle w:val="Default"/>
        <w:jc w:val="both"/>
        <w:rPr>
          <w:b/>
          <w:bCs/>
          <w:sz w:val="22"/>
          <w:szCs w:val="22"/>
          <w:u w:val="single"/>
          <w:lang w:val="en-GB"/>
        </w:rPr>
      </w:pPr>
      <w:r w:rsidRPr="006954DB">
        <w:rPr>
          <w:b/>
          <w:bCs/>
          <w:sz w:val="22"/>
          <w:szCs w:val="22"/>
          <w:u w:val="single"/>
          <w:lang w:val="en-GB"/>
        </w:rPr>
        <w:t>THEMAT</w:t>
      </w:r>
      <w:r>
        <w:rPr>
          <w:b/>
          <w:bCs/>
          <w:sz w:val="22"/>
          <w:szCs w:val="22"/>
          <w:u w:val="single"/>
          <w:lang w:val="en-GB"/>
        </w:rPr>
        <w:t>I</w:t>
      </w:r>
      <w:r w:rsidRPr="006954DB">
        <w:rPr>
          <w:b/>
          <w:bCs/>
          <w:sz w:val="22"/>
          <w:szCs w:val="22"/>
          <w:u w:val="single"/>
          <w:lang w:val="en-GB"/>
        </w:rPr>
        <w:t>C SCOPE</w:t>
      </w:r>
    </w:p>
    <w:p w14:paraId="65E2FD9B" w14:textId="5028169F" w:rsidR="006954DB" w:rsidRDefault="006954DB" w:rsidP="00F86462">
      <w:pPr>
        <w:spacing w:after="0" w:line="240" w:lineRule="auto"/>
        <w:jc w:val="both"/>
        <w:rPr>
          <w:rFonts w:ascii="Cambria" w:hAnsi="Cambria"/>
          <w:lang w:val="en-GB"/>
        </w:rPr>
      </w:pPr>
    </w:p>
    <w:p w14:paraId="4C6184AF" w14:textId="77777777" w:rsidR="006954DB" w:rsidRPr="006954DB" w:rsidRDefault="006954DB" w:rsidP="006954DB">
      <w:pPr>
        <w:pStyle w:val="Listaszerbekezds"/>
        <w:numPr>
          <w:ilvl w:val="0"/>
          <w:numId w:val="10"/>
        </w:numPr>
        <w:spacing w:after="0" w:line="240" w:lineRule="auto"/>
        <w:jc w:val="both"/>
        <w:rPr>
          <w:rFonts w:ascii="Cambria" w:hAnsi="Cambria"/>
          <w:lang w:val="en-GB"/>
        </w:rPr>
      </w:pPr>
      <w:r w:rsidRPr="006954DB">
        <w:rPr>
          <w:rFonts w:ascii="Cambria" w:hAnsi="Cambria"/>
          <w:lang w:val="en-GB"/>
        </w:rPr>
        <w:t>URBACT supports networks in any thematic issues on better cooperation governance. The present Call for Proposals for Action Planning networks is open to any specific urban challenge or topic that is relevant to the candidate cities.</w:t>
      </w:r>
    </w:p>
    <w:p w14:paraId="542C0DDB" w14:textId="77777777" w:rsidR="006954DB" w:rsidRPr="00F86462" w:rsidRDefault="006954DB" w:rsidP="006954DB">
      <w:pPr>
        <w:spacing w:after="0" w:line="240" w:lineRule="auto"/>
        <w:jc w:val="both"/>
        <w:rPr>
          <w:rFonts w:ascii="Cambria" w:hAnsi="Cambria"/>
          <w:lang w:val="en-GB"/>
        </w:rPr>
      </w:pPr>
    </w:p>
    <w:p w14:paraId="55306EE1" w14:textId="1446E006" w:rsidR="006954DB" w:rsidRPr="00760576" w:rsidRDefault="006954DB" w:rsidP="006566FD">
      <w:pPr>
        <w:pStyle w:val="Listaszerbekezds"/>
        <w:numPr>
          <w:ilvl w:val="0"/>
          <w:numId w:val="10"/>
        </w:numPr>
        <w:spacing w:after="0" w:line="240" w:lineRule="auto"/>
        <w:jc w:val="both"/>
        <w:rPr>
          <w:rFonts w:ascii="Cambria" w:hAnsi="Cambria"/>
          <w:lang w:val="en-GB"/>
        </w:rPr>
      </w:pPr>
      <w:r w:rsidRPr="00760576">
        <w:rPr>
          <w:rFonts w:ascii="Cambria" w:hAnsi="Cambria"/>
          <w:lang w:val="en-GB"/>
        </w:rPr>
        <w:t>When considering the thematic coverage of the Action Planning Networks, this scope includes the five policy objectives as defined in Article 3 of the ERDF regulation (EU) 2021/1058:</w:t>
      </w:r>
      <w:r w:rsidR="00760576" w:rsidRPr="00760576">
        <w:rPr>
          <w:rFonts w:ascii="Cambria" w:hAnsi="Cambria"/>
          <w:lang w:val="en-GB"/>
        </w:rPr>
        <w:t xml:space="preserve"> 1. </w:t>
      </w:r>
      <w:r w:rsidRPr="00760576">
        <w:rPr>
          <w:rFonts w:ascii="Cambria" w:hAnsi="Cambria"/>
          <w:lang w:val="en-GB"/>
        </w:rPr>
        <w:t>a more competitive and smarter Europe</w:t>
      </w:r>
      <w:r w:rsidR="00760576" w:rsidRPr="00760576">
        <w:rPr>
          <w:rFonts w:ascii="Cambria" w:hAnsi="Cambria"/>
          <w:lang w:val="en-GB"/>
        </w:rPr>
        <w:t xml:space="preserve">; 2. </w:t>
      </w:r>
      <w:r w:rsidRPr="00760576">
        <w:rPr>
          <w:rFonts w:ascii="Cambria" w:hAnsi="Cambria"/>
          <w:lang w:val="en-GB"/>
        </w:rPr>
        <w:t>greener, low-carbon transitioning towards a net zero carbon economy and resilient Europe</w:t>
      </w:r>
      <w:r w:rsidR="00760576" w:rsidRPr="00760576">
        <w:rPr>
          <w:rFonts w:ascii="Cambria" w:hAnsi="Cambria"/>
          <w:lang w:val="en-GB"/>
        </w:rPr>
        <w:t xml:space="preserve">; 3. </w:t>
      </w:r>
      <w:r w:rsidRPr="00760576">
        <w:rPr>
          <w:rFonts w:ascii="Cambria" w:hAnsi="Cambria"/>
          <w:lang w:val="en-GB"/>
        </w:rPr>
        <w:t>more connected Europe by enhancing mobility;</w:t>
      </w:r>
      <w:r w:rsidR="00760576" w:rsidRPr="00760576">
        <w:rPr>
          <w:rFonts w:ascii="Cambria" w:hAnsi="Cambria"/>
          <w:lang w:val="en-GB"/>
        </w:rPr>
        <w:t xml:space="preserve"> 4. </w:t>
      </w:r>
      <w:r w:rsidRPr="00760576">
        <w:rPr>
          <w:rFonts w:ascii="Cambria" w:hAnsi="Cambria"/>
          <w:lang w:val="en-GB"/>
        </w:rPr>
        <w:t>a more social and inclusive Europe implementing the European Pillar of Social Rights;</w:t>
      </w:r>
      <w:r w:rsidR="00760576" w:rsidRPr="00760576">
        <w:rPr>
          <w:rFonts w:ascii="Cambria" w:hAnsi="Cambria"/>
          <w:lang w:val="en-GB"/>
        </w:rPr>
        <w:t xml:space="preserve"> 5. </w:t>
      </w:r>
      <w:r w:rsidRPr="00760576">
        <w:rPr>
          <w:rFonts w:ascii="Cambria" w:hAnsi="Cambria"/>
          <w:lang w:val="en-GB"/>
        </w:rPr>
        <w:t>a Europe closer to citizens by fostering the sustainable and integrated development of all types of territories and local initiatives.</w:t>
      </w:r>
    </w:p>
    <w:p w14:paraId="464E7EC1" w14:textId="77777777" w:rsidR="006954DB" w:rsidRDefault="006954DB" w:rsidP="00F86462">
      <w:pPr>
        <w:spacing w:after="0" w:line="240" w:lineRule="auto"/>
        <w:jc w:val="both"/>
        <w:rPr>
          <w:rFonts w:ascii="Cambria" w:hAnsi="Cambria"/>
          <w:lang w:val="en-GB"/>
        </w:rPr>
      </w:pPr>
    </w:p>
    <w:p w14:paraId="540D53A9" w14:textId="1BE86CFA" w:rsidR="00F86462" w:rsidRPr="00F86462" w:rsidRDefault="00F86462" w:rsidP="00F86462">
      <w:pPr>
        <w:pStyle w:val="Default"/>
        <w:jc w:val="both"/>
        <w:rPr>
          <w:b/>
          <w:bCs/>
          <w:sz w:val="22"/>
          <w:szCs w:val="22"/>
          <w:u w:val="single"/>
          <w:lang w:val="en-GB"/>
        </w:rPr>
      </w:pPr>
      <w:r w:rsidRPr="00F86462">
        <w:rPr>
          <w:b/>
          <w:bCs/>
          <w:sz w:val="22"/>
          <w:szCs w:val="22"/>
          <w:u w:val="single"/>
          <w:lang w:val="en-GB"/>
        </w:rPr>
        <w:t xml:space="preserve">TWO TYPES OF PARTNERS: </w:t>
      </w:r>
    </w:p>
    <w:p w14:paraId="676A506B" w14:textId="134D0D46" w:rsidR="00F86462" w:rsidRDefault="00F86462" w:rsidP="00F86462">
      <w:pPr>
        <w:pStyle w:val="Default"/>
        <w:jc w:val="both"/>
        <w:rPr>
          <w:sz w:val="22"/>
          <w:szCs w:val="22"/>
          <w:lang w:val="en-GB"/>
        </w:rPr>
      </w:pPr>
    </w:p>
    <w:p w14:paraId="1FCEB784" w14:textId="640701D8" w:rsidR="00F86462" w:rsidRPr="00F86462" w:rsidRDefault="00F86462" w:rsidP="006954DB">
      <w:pPr>
        <w:pStyle w:val="Default"/>
        <w:numPr>
          <w:ilvl w:val="0"/>
          <w:numId w:val="9"/>
        </w:numPr>
        <w:spacing w:after="120"/>
        <w:ind w:hanging="357"/>
        <w:jc w:val="both"/>
        <w:rPr>
          <w:sz w:val="22"/>
          <w:szCs w:val="22"/>
          <w:lang w:val="en-GB"/>
        </w:rPr>
      </w:pPr>
      <w:r w:rsidRPr="006954DB">
        <w:rPr>
          <w:b/>
          <w:bCs/>
          <w:sz w:val="22"/>
          <w:szCs w:val="22"/>
          <w:lang w:val="en-GB"/>
        </w:rPr>
        <w:lastRenderedPageBreak/>
        <w:t>Main beneficiaries</w:t>
      </w:r>
      <w:r w:rsidRPr="00F86462">
        <w:rPr>
          <w:sz w:val="22"/>
          <w:szCs w:val="22"/>
          <w:lang w:val="en-GB"/>
        </w:rPr>
        <w:t xml:space="preserve"> for Action Planning Networks shall be cities from 27 EU Member States, Norway, Switzerland, as well as IPA countries willing to develop integrated strategies and action plans for sustainable urban development. The beneficiary type “city” refers to the public local authority representing: </w:t>
      </w:r>
    </w:p>
    <w:p w14:paraId="5862FFB9" w14:textId="2BF274E3" w:rsidR="00F86462" w:rsidRPr="00F86462" w:rsidRDefault="00F86462" w:rsidP="006954DB">
      <w:pPr>
        <w:pStyle w:val="Default"/>
        <w:numPr>
          <w:ilvl w:val="0"/>
          <w:numId w:val="9"/>
        </w:numPr>
        <w:spacing w:after="120"/>
        <w:ind w:left="1701" w:hanging="357"/>
        <w:jc w:val="both"/>
        <w:rPr>
          <w:sz w:val="22"/>
          <w:szCs w:val="22"/>
          <w:lang w:val="en-GB"/>
        </w:rPr>
      </w:pPr>
      <w:r w:rsidRPr="00F86462">
        <w:rPr>
          <w:sz w:val="22"/>
          <w:szCs w:val="22"/>
          <w:lang w:val="en-GB"/>
        </w:rPr>
        <w:t xml:space="preserve">Cities, municipalities, </w:t>
      </w:r>
      <w:proofErr w:type="gramStart"/>
      <w:r w:rsidRPr="00F86462">
        <w:rPr>
          <w:sz w:val="22"/>
          <w:szCs w:val="22"/>
          <w:lang w:val="en-GB"/>
        </w:rPr>
        <w:t>towns;</w:t>
      </w:r>
      <w:proofErr w:type="gramEnd"/>
      <w:r w:rsidRPr="00F86462">
        <w:rPr>
          <w:sz w:val="22"/>
          <w:szCs w:val="22"/>
          <w:lang w:val="en-GB"/>
        </w:rPr>
        <w:t xml:space="preserve"> </w:t>
      </w:r>
    </w:p>
    <w:p w14:paraId="68F93299" w14:textId="7A11DEAA" w:rsidR="00F86462" w:rsidRPr="00F86462" w:rsidRDefault="00F86462" w:rsidP="006954DB">
      <w:pPr>
        <w:pStyle w:val="Default"/>
        <w:numPr>
          <w:ilvl w:val="0"/>
          <w:numId w:val="9"/>
        </w:numPr>
        <w:spacing w:after="120"/>
        <w:ind w:left="1701" w:hanging="357"/>
        <w:jc w:val="both"/>
        <w:rPr>
          <w:sz w:val="22"/>
          <w:szCs w:val="22"/>
          <w:lang w:val="en-GB"/>
        </w:rPr>
      </w:pPr>
      <w:r w:rsidRPr="00F86462">
        <w:rPr>
          <w:sz w:val="22"/>
          <w:szCs w:val="22"/>
          <w:lang w:val="en-GB"/>
        </w:rPr>
        <w:t xml:space="preserve">Local agencies defined as public or semi-public organisations set up by a city, partially or fully owned by the city authority, responsible for the design and implementation of specific policies (economic development, energy supply, health services, transport, etc.) </w:t>
      </w:r>
    </w:p>
    <w:p w14:paraId="3B1701FB" w14:textId="57C740DB" w:rsidR="00F86462" w:rsidRPr="00F86462" w:rsidRDefault="00F86462" w:rsidP="006954DB">
      <w:pPr>
        <w:pStyle w:val="Default"/>
        <w:numPr>
          <w:ilvl w:val="0"/>
          <w:numId w:val="9"/>
        </w:numPr>
        <w:spacing w:after="120"/>
        <w:ind w:left="1701" w:hanging="357"/>
        <w:jc w:val="both"/>
        <w:rPr>
          <w:sz w:val="22"/>
          <w:szCs w:val="22"/>
          <w:lang w:val="en-GB"/>
        </w:rPr>
      </w:pPr>
      <w:r w:rsidRPr="00F86462">
        <w:rPr>
          <w:sz w:val="22"/>
          <w:szCs w:val="22"/>
          <w:lang w:val="en-GB"/>
        </w:rPr>
        <w:t xml:space="preserve">Infra-municipal tiers of government such as city districts and boroughs in cases where they are represented by a politico-administrative institution having competences for </w:t>
      </w:r>
      <w:proofErr w:type="gramStart"/>
      <w:r w:rsidRPr="00F86462">
        <w:rPr>
          <w:sz w:val="22"/>
          <w:szCs w:val="22"/>
          <w:lang w:val="en-GB"/>
        </w:rPr>
        <w:t>policy-making</w:t>
      </w:r>
      <w:proofErr w:type="gramEnd"/>
      <w:r w:rsidRPr="00F86462">
        <w:rPr>
          <w:sz w:val="22"/>
          <w:szCs w:val="22"/>
          <w:lang w:val="en-GB"/>
        </w:rPr>
        <w:t xml:space="preserve"> and implementation in the policy area covered by the URBACT network concerned in which they are willing to get involved; </w:t>
      </w:r>
    </w:p>
    <w:p w14:paraId="7CB3D152" w14:textId="0A2ABE2F" w:rsidR="00F86462" w:rsidRPr="00F86462" w:rsidRDefault="00F86462" w:rsidP="006954DB">
      <w:pPr>
        <w:pStyle w:val="Default"/>
        <w:numPr>
          <w:ilvl w:val="0"/>
          <w:numId w:val="9"/>
        </w:numPr>
        <w:spacing w:after="120"/>
        <w:ind w:left="1701" w:hanging="357"/>
        <w:jc w:val="both"/>
        <w:rPr>
          <w:sz w:val="22"/>
          <w:szCs w:val="22"/>
          <w:lang w:val="en-GB"/>
        </w:rPr>
      </w:pPr>
      <w:r w:rsidRPr="00F86462">
        <w:rPr>
          <w:sz w:val="22"/>
          <w:szCs w:val="22"/>
          <w:lang w:val="en-GB"/>
        </w:rPr>
        <w:t xml:space="preserve">Metropolitan authorities and organised agglomerations in cases where they are represented by a politico-administrative institution having delegated competences for </w:t>
      </w:r>
      <w:proofErr w:type="gramStart"/>
      <w:r w:rsidRPr="00F86462">
        <w:rPr>
          <w:sz w:val="22"/>
          <w:szCs w:val="22"/>
          <w:lang w:val="en-GB"/>
        </w:rPr>
        <w:t>policy-making</w:t>
      </w:r>
      <w:proofErr w:type="gramEnd"/>
      <w:r w:rsidRPr="00F86462">
        <w:rPr>
          <w:sz w:val="22"/>
          <w:szCs w:val="22"/>
          <w:lang w:val="en-GB"/>
        </w:rPr>
        <w:t xml:space="preserve"> and implementation in the policy area covered by the URBACT network concerned. </w:t>
      </w:r>
    </w:p>
    <w:p w14:paraId="0E02F958" w14:textId="021C915E" w:rsidR="00F86462" w:rsidRDefault="00F86462" w:rsidP="00F86462">
      <w:pPr>
        <w:pStyle w:val="Default"/>
        <w:jc w:val="both"/>
        <w:rPr>
          <w:sz w:val="22"/>
          <w:szCs w:val="22"/>
          <w:lang w:val="en-GB"/>
        </w:rPr>
      </w:pPr>
    </w:p>
    <w:p w14:paraId="1A4FADB0" w14:textId="0679DD8B" w:rsidR="006954DB" w:rsidRPr="00760576" w:rsidRDefault="00760576" w:rsidP="004F3DE8">
      <w:pPr>
        <w:pStyle w:val="Default"/>
        <w:numPr>
          <w:ilvl w:val="0"/>
          <w:numId w:val="9"/>
        </w:numPr>
        <w:ind w:hanging="357"/>
        <w:jc w:val="both"/>
        <w:rPr>
          <w:sz w:val="22"/>
          <w:szCs w:val="22"/>
          <w:lang w:val="en-GB"/>
        </w:rPr>
      </w:pPr>
      <w:r w:rsidRPr="00760576">
        <w:rPr>
          <w:sz w:val="22"/>
          <w:szCs w:val="22"/>
          <w:lang w:val="en-GB"/>
        </w:rPr>
        <w:t>A</w:t>
      </w:r>
      <w:r w:rsidR="006954DB" w:rsidRPr="00760576">
        <w:rPr>
          <w:sz w:val="22"/>
          <w:szCs w:val="22"/>
          <w:lang w:val="en-GB"/>
        </w:rPr>
        <w:t xml:space="preserve"> limited number of other eligible beneficiaries (</w:t>
      </w:r>
      <w:r w:rsidR="006954DB" w:rsidRPr="00760576">
        <w:rPr>
          <w:b/>
          <w:bCs/>
          <w:sz w:val="22"/>
          <w:szCs w:val="22"/>
          <w:lang w:val="en-GB"/>
        </w:rPr>
        <w:t>non-city partners</w:t>
      </w:r>
      <w:r w:rsidR="006954DB" w:rsidRPr="00760576">
        <w:rPr>
          <w:sz w:val="22"/>
          <w:szCs w:val="22"/>
          <w:lang w:val="en-GB"/>
        </w:rPr>
        <w:t>)</w:t>
      </w:r>
      <w:r w:rsidRPr="00760576">
        <w:rPr>
          <w:sz w:val="22"/>
          <w:szCs w:val="22"/>
          <w:lang w:val="en-GB"/>
        </w:rPr>
        <w:t xml:space="preserve">: 1. </w:t>
      </w:r>
      <w:r w:rsidR="006954DB" w:rsidRPr="00760576">
        <w:rPr>
          <w:rFonts w:cs="Times New Roman"/>
          <w:sz w:val="22"/>
          <w:szCs w:val="22"/>
          <w:lang w:val="en-GB"/>
        </w:rPr>
        <w:t xml:space="preserve">Provincial, regional and national authorities, as far as urban issues are concerned; </w:t>
      </w:r>
      <w:r w:rsidRPr="00760576">
        <w:rPr>
          <w:rFonts w:cs="Times New Roman"/>
          <w:sz w:val="22"/>
          <w:szCs w:val="22"/>
          <w:lang w:val="en-GB"/>
        </w:rPr>
        <w:t xml:space="preserve">2. </w:t>
      </w:r>
      <w:r w:rsidR="006954DB" w:rsidRPr="00760576">
        <w:rPr>
          <w:sz w:val="22"/>
          <w:szCs w:val="22"/>
          <w:lang w:val="en-GB"/>
        </w:rPr>
        <w:t xml:space="preserve">Universities and research centres, as far as urban issues are concerned; </w:t>
      </w:r>
      <w:r w:rsidRPr="00760576">
        <w:rPr>
          <w:sz w:val="22"/>
          <w:szCs w:val="22"/>
          <w:lang w:val="en-GB"/>
        </w:rPr>
        <w:t xml:space="preserve">3. </w:t>
      </w:r>
      <w:r w:rsidR="006954DB" w:rsidRPr="00760576">
        <w:rPr>
          <w:sz w:val="22"/>
          <w:szCs w:val="22"/>
          <w:lang w:val="en-GB"/>
        </w:rPr>
        <w:t>Managing Authorities of Cohesion Policy and EU Solidarity Funds</w:t>
      </w:r>
      <w:r w:rsidRPr="00760576">
        <w:rPr>
          <w:sz w:val="22"/>
          <w:szCs w:val="22"/>
          <w:lang w:val="en-GB"/>
        </w:rPr>
        <w:t xml:space="preserve">. </w:t>
      </w:r>
      <w:proofErr w:type="gramStart"/>
      <w:r w:rsidR="006954DB" w:rsidRPr="00760576">
        <w:rPr>
          <w:sz w:val="22"/>
          <w:szCs w:val="22"/>
          <w:lang w:val="en-GB"/>
        </w:rPr>
        <w:t>In order to</w:t>
      </w:r>
      <w:proofErr w:type="gramEnd"/>
      <w:r w:rsidR="006954DB" w:rsidRPr="00760576">
        <w:rPr>
          <w:sz w:val="22"/>
          <w:szCs w:val="22"/>
          <w:lang w:val="en-GB"/>
        </w:rPr>
        <w:t xml:space="preserve"> be eligible, non-city partners must be public authorities or Equivalent Public Bodies</w:t>
      </w:r>
      <w:r>
        <w:rPr>
          <w:sz w:val="22"/>
          <w:szCs w:val="22"/>
          <w:lang w:val="en-GB"/>
        </w:rPr>
        <w:t>.</w:t>
      </w:r>
    </w:p>
    <w:p w14:paraId="634B264A" w14:textId="77777777" w:rsidR="006954DB" w:rsidRDefault="006954DB" w:rsidP="00F86462">
      <w:pPr>
        <w:pStyle w:val="Default"/>
        <w:jc w:val="both"/>
        <w:rPr>
          <w:sz w:val="22"/>
          <w:szCs w:val="22"/>
          <w:lang w:val="en-GB"/>
        </w:rPr>
      </w:pPr>
    </w:p>
    <w:p w14:paraId="4F218FAC" w14:textId="5BBFB911" w:rsidR="00F86462" w:rsidRPr="00760576" w:rsidRDefault="00F86462" w:rsidP="00760576">
      <w:pPr>
        <w:pStyle w:val="Default"/>
        <w:jc w:val="both"/>
        <w:rPr>
          <w:b/>
          <w:bCs/>
          <w:sz w:val="22"/>
          <w:szCs w:val="22"/>
          <w:u w:val="single"/>
          <w:lang w:val="en-GB"/>
        </w:rPr>
      </w:pPr>
      <w:r w:rsidRPr="00760576">
        <w:rPr>
          <w:b/>
          <w:bCs/>
          <w:sz w:val="22"/>
          <w:szCs w:val="22"/>
          <w:u w:val="single"/>
          <w:lang w:val="en-GB"/>
        </w:rPr>
        <w:t>PARTNERSHIP COMPOSITION</w:t>
      </w:r>
    </w:p>
    <w:p w14:paraId="458FB182" w14:textId="349996E7" w:rsidR="00F86462" w:rsidRDefault="00F86462" w:rsidP="00F86462">
      <w:pPr>
        <w:pStyle w:val="Default"/>
        <w:jc w:val="both"/>
        <w:rPr>
          <w:sz w:val="22"/>
          <w:szCs w:val="22"/>
          <w:lang w:val="en-GB"/>
        </w:rPr>
      </w:pPr>
    </w:p>
    <w:p w14:paraId="6B5AA45C" w14:textId="77777777" w:rsidR="00760576" w:rsidRPr="00F86462" w:rsidRDefault="00760576" w:rsidP="00760576">
      <w:pPr>
        <w:pStyle w:val="Default"/>
        <w:numPr>
          <w:ilvl w:val="0"/>
          <w:numId w:val="9"/>
        </w:numPr>
        <w:spacing w:after="120"/>
        <w:ind w:hanging="357"/>
        <w:jc w:val="both"/>
        <w:rPr>
          <w:sz w:val="22"/>
          <w:szCs w:val="22"/>
          <w:lang w:val="en-GB"/>
        </w:rPr>
      </w:pPr>
      <w:r w:rsidRPr="00F86462">
        <w:rPr>
          <w:sz w:val="22"/>
          <w:szCs w:val="22"/>
          <w:lang w:val="en-GB"/>
        </w:rPr>
        <w:t xml:space="preserve">A full partnership shall be set up for the submission of the application. </w:t>
      </w:r>
    </w:p>
    <w:p w14:paraId="26A0A0FC" w14:textId="77777777" w:rsidR="00047408" w:rsidRDefault="00760576" w:rsidP="00760576">
      <w:pPr>
        <w:pStyle w:val="Default"/>
        <w:numPr>
          <w:ilvl w:val="0"/>
          <w:numId w:val="9"/>
        </w:numPr>
        <w:spacing w:after="120"/>
        <w:ind w:hanging="357"/>
        <w:jc w:val="both"/>
        <w:rPr>
          <w:sz w:val="22"/>
          <w:szCs w:val="22"/>
          <w:lang w:val="en-GB"/>
        </w:rPr>
      </w:pPr>
      <w:r w:rsidRPr="00F86462">
        <w:rPr>
          <w:sz w:val="22"/>
          <w:szCs w:val="22"/>
          <w:lang w:val="en-GB"/>
        </w:rPr>
        <w:t xml:space="preserve">The partnership to be proposed must include a minimum of 8 and a maximum of 10 partners from eligible countries. </w:t>
      </w:r>
    </w:p>
    <w:p w14:paraId="7AA4C35F" w14:textId="615C1B4A" w:rsidR="00760576" w:rsidRPr="00047408" w:rsidRDefault="00047408" w:rsidP="00F86462">
      <w:pPr>
        <w:pStyle w:val="Default"/>
        <w:numPr>
          <w:ilvl w:val="0"/>
          <w:numId w:val="9"/>
        </w:numPr>
        <w:spacing w:after="120"/>
        <w:ind w:hanging="357"/>
        <w:jc w:val="both"/>
        <w:rPr>
          <w:sz w:val="22"/>
          <w:szCs w:val="22"/>
          <w:lang w:val="en-GB"/>
        </w:rPr>
      </w:pPr>
      <w:r w:rsidRPr="00047408">
        <w:rPr>
          <w:sz w:val="22"/>
          <w:szCs w:val="22"/>
          <w:lang w:val="en-GB"/>
        </w:rPr>
        <w:t>Only cities from the 27 EU Member States can be Lead Partners of Action Planning Networks</w:t>
      </w:r>
      <w:r>
        <w:rPr>
          <w:sz w:val="22"/>
          <w:szCs w:val="22"/>
          <w:lang w:val="en-GB"/>
        </w:rPr>
        <w:t>.</w:t>
      </w:r>
    </w:p>
    <w:p w14:paraId="5F8B4632" w14:textId="77777777" w:rsidR="00047408" w:rsidRPr="00F86462" w:rsidRDefault="00047408" w:rsidP="00047408">
      <w:pPr>
        <w:pStyle w:val="Default"/>
        <w:numPr>
          <w:ilvl w:val="0"/>
          <w:numId w:val="9"/>
        </w:numPr>
        <w:spacing w:after="120"/>
        <w:ind w:hanging="357"/>
        <w:jc w:val="both"/>
        <w:rPr>
          <w:sz w:val="22"/>
          <w:szCs w:val="22"/>
          <w:lang w:val="en-GB"/>
        </w:rPr>
      </w:pPr>
      <w:r w:rsidRPr="00F86462">
        <w:rPr>
          <w:sz w:val="22"/>
          <w:szCs w:val="22"/>
          <w:lang w:val="en-GB"/>
        </w:rPr>
        <w:t xml:space="preserve">A candidate city can be candidate Lead Partner of one Action Planning Network proposal only but can be also a Project Partner in another network at the time. </w:t>
      </w:r>
    </w:p>
    <w:p w14:paraId="337B1125" w14:textId="77777777" w:rsidR="00047408" w:rsidRPr="00F86462" w:rsidRDefault="00047408" w:rsidP="00047408">
      <w:pPr>
        <w:pStyle w:val="Default"/>
        <w:numPr>
          <w:ilvl w:val="0"/>
          <w:numId w:val="9"/>
        </w:numPr>
        <w:spacing w:after="120"/>
        <w:ind w:hanging="357"/>
        <w:jc w:val="both"/>
        <w:rPr>
          <w:sz w:val="22"/>
          <w:szCs w:val="22"/>
          <w:lang w:val="en-GB"/>
        </w:rPr>
      </w:pPr>
      <w:r w:rsidRPr="00F86462">
        <w:rPr>
          <w:sz w:val="22"/>
          <w:szCs w:val="22"/>
          <w:lang w:val="en-GB"/>
        </w:rPr>
        <w:t>IPA partners can apply as Project Partners provided that their legal status is coherent with the Programme rules and that the legal framework is fully set in the relevant IPA countries. The conditions to participate will have to be checked with the national authorities concerned.</w:t>
      </w:r>
    </w:p>
    <w:p w14:paraId="251D206B" w14:textId="7C7EF7C2" w:rsidR="00047408" w:rsidRPr="00F86462" w:rsidRDefault="00047408" w:rsidP="00047408">
      <w:pPr>
        <w:pStyle w:val="Default"/>
        <w:numPr>
          <w:ilvl w:val="0"/>
          <w:numId w:val="9"/>
        </w:numPr>
        <w:spacing w:after="120"/>
        <w:ind w:hanging="357"/>
        <w:jc w:val="both"/>
        <w:rPr>
          <w:sz w:val="22"/>
          <w:szCs w:val="22"/>
          <w:lang w:val="en-GB"/>
        </w:rPr>
      </w:pPr>
      <w:r w:rsidRPr="00F86462">
        <w:rPr>
          <w:sz w:val="22"/>
          <w:szCs w:val="22"/>
          <w:lang w:val="en-GB"/>
        </w:rPr>
        <w:t>The partnership may include 2 “non-city partners” maximum</w:t>
      </w:r>
      <w:r>
        <w:rPr>
          <w:sz w:val="22"/>
          <w:szCs w:val="22"/>
          <w:lang w:val="en-GB"/>
        </w:rPr>
        <w:t>.</w:t>
      </w:r>
    </w:p>
    <w:p w14:paraId="684BCC66" w14:textId="5480BE48" w:rsidR="00047408" w:rsidRDefault="00047408" w:rsidP="00047408">
      <w:pPr>
        <w:pStyle w:val="Default"/>
        <w:numPr>
          <w:ilvl w:val="0"/>
          <w:numId w:val="9"/>
        </w:numPr>
        <w:spacing w:after="120"/>
        <w:ind w:hanging="357"/>
        <w:jc w:val="both"/>
        <w:rPr>
          <w:sz w:val="22"/>
          <w:szCs w:val="22"/>
          <w:lang w:val="en-GB"/>
        </w:rPr>
      </w:pPr>
      <w:r w:rsidRPr="00F86462">
        <w:rPr>
          <w:sz w:val="22"/>
          <w:szCs w:val="22"/>
          <w:lang w:val="en-GB"/>
        </w:rPr>
        <w:t>A beneficiary (city and non-city partners) may not be a partner in more than two approved Action Planning Networks at the time</w:t>
      </w:r>
      <w:r>
        <w:rPr>
          <w:sz w:val="22"/>
          <w:szCs w:val="22"/>
          <w:lang w:val="en-GB"/>
        </w:rPr>
        <w:t>.</w:t>
      </w:r>
    </w:p>
    <w:p w14:paraId="6A10C50B" w14:textId="77777777" w:rsidR="00047408" w:rsidRPr="00047408" w:rsidRDefault="00047408" w:rsidP="00047408">
      <w:pPr>
        <w:pStyle w:val="Default"/>
        <w:spacing w:after="120"/>
        <w:jc w:val="both"/>
        <w:rPr>
          <w:sz w:val="22"/>
          <w:szCs w:val="22"/>
          <w:lang w:val="en-GB"/>
        </w:rPr>
      </w:pPr>
    </w:p>
    <w:p w14:paraId="6832B71A" w14:textId="7E457185" w:rsidR="00760576" w:rsidRPr="00760576" w:rsidRDefault="00760576" w:rsidP="00F86462">
      <w:pPr>
        <w:pStyle w:val="Default"/>
        <w:jc w:val="both"/>
        <w:rPr>
          <w:b/>
          <w:bCs/>
          <w:sz w:val="22"/>
          <w:szCs w:val="22"/>
          <w:u w:val="single"/>
          <w:lang w:val="en-GB"/>
        </w:rPr>
      </w:pPr>
      <w:r w:rsidRPr="00760576">
        <w:rPr>
          <w:b/>
          <w:bCs/>
          <w:sz w:val="22"/>
          <w:szCs w:val="22"/>
          <w:u w:val="single"/>
          <w:lang w:val="en-GB"/>
        </w:rPr>
        <w:t>GEOGRAPHICAL BALANCE</w:t>
      </w:r>
    </w:p>
    <w:p w14:paraId="280F1437" w14:textId="3DAF67D5" w:rsidR="00FE1D38" w:rsidRPr="00F86462" w:rsidRDefault="00FE1D38" w:rsidP="00047408">
      <w:pPr>
        <w:pStyle w:val="Default"/>
        <w:jc w:val="both"/>
        <w:rPr>
          <w:sz w:val="22"/>
          <w:szCs w:val="22"/>
          <w:lang w:val="en-GB"/>
        </w:rPr>
      </w:pPr>
    </w:p>
    <w:p w14:paraId="65873DC3" w14:textId="412B717E" w:rsidR="00FE1D38" w:rsidRPr="00F86462" w:rsidRDefault="00FE1D38" w:rsidP="00047408">
      <w:pPr>
        <w:pStyle w:val="Default"/>
        <w:spacing w:after="120"/>
        <w:jc w:val="both"/>
        <w:rPr>
          <w:sz w:val="22"/>
          <w:szCs w:val="22"/>
          <w:lang w:val="en-GB"/>
        </w:rPr>
      </w:pPr>
      <w:r w:rsidRPr="00F86462">
        <w:rPr>
          <w:sz w:val="22"/>
          <w:szCs w:val="22"/>
          <w:lang w:val="en-GB"/>
        </w:rPr>
        <w:t xml:space="preserve">70% balance of cities from EU regions is necessary as follows: </w:t>
      </w:r>
    </w:p>
    <w:p w14:paraId="105950D9" w14:textId="36E4ECFE" w:rsidR="00FE1D38" w:rsidRPr="00F86462" w:rsidRDefault="00FE1D38" w:rsidP="00047408">
      <w:pPr>
        <w:pStyle w:val="Default"/>
        <w:numPr>
          <w:ilvl w:val="0"/>
          <w:numId w:val="9"/>
        </w:numPr>
        <w:spacing w:after="120"/>
        <w:ind w:hanging="357"/>
        <w:jc w:val="both"/>
        <w:rPr>
          <w:sz w:val="22"/>
          <w:szCs w:val="22"/>
          <w:lang w:val="en-GB"/>
        </w:rPr>
      </w:pPr>
      <w:r w:rsidRPr="00F86462">
        <w:rPr>
          <w:sz w:val="22"/>
          <w:szCs w:val="22"/>
          <w:lang w:val="en-GB"/>
        </w:rPr>
        <w:t xml:space="preserve">a minimum of 6 partners from Less Developed and Transition Regions where the total number of partners is 8 to 9. </w:t>
      </w:r>
    </w:p>
    <w:p w14:paraId="4CAEAECC" w14:textId="2F8192A6" w:rsidR="00FE1D38" w:rsidRPr="00047408" w:rsidRDefault="00FE1D38" w:rsidP="00047408">
      <w:pPr>
        <w:pStyle w:val="Default"/>
        <w:numPr>
          <w:ilvl w:val="0"/>
          <w:numId w:val="9"/>
        </w:numPr>
        <w:spacing w:after="120"/>
        <w:ind w:hanging="357"/>
        <w:jc w:val="both"/>
        <w:rPr>
          <w:sz w:val="22"/>
          <w:szCs w:val="22"/>
          <w:lang w:val="en-GB"/>
        </w:rPr>
      </w:pPr>
      <w:r w:rsidRPr="00F86462">
        <w:rPr>
          <w:sz w:val="22"/>
          <w:szCs w:val="22"/>
          <w:lang w:val="en-GB"/>
        </w:rPr>
        <w:t xml:space="preserve">a minimum of 7 partners from Less Developed and Transition Regions where the total number of partners is 10. </w:t>
      </w:r>
    </w:p>
    <w:p w14:paraId="7493CA2E" w14:textId="0CDEB521" w:rsidR="00FE1D38" w:rsidRPr="00047408" w:rsidRDefault="00047408" w:rsidP="00047408">
      <w:pPr>
        <w:pStyle w:val="Default"/>
        <w:numPr>
          <w:ilvl w:val="0"/>
          <w:numId w:val="9"/>
        </w:numPr>
        <w:spacing w:after="120"/>
        <w:ind w:hanging="357"/>
        <w:jc w:val="both"/>
        <w:rPr>
          <w:sz w:val="22"/>
          <w:szCs w:val="22"/>
          <w:lang w:val="en-GB"/>
        </w:rPr>
      </w:pPr>
      <w:r w:rsidRPr="00047408">
        <w:rPr>
          <w:sz w:val="22"/>
          <w:szCs w:val="22"/>
          <w:lang w:val="en-GB"/>
        </w:rPr>
        <w:t xml:space="preserve">MAP of regions: </w:t>
      </w:r>
      <w:hyperlink r:id="rId5" w:history="1">
        <w:r w:rsidRPr="00047408">
          <w:rPr>
            <w:sz w:val="22"/>
            <w:szCs w:val="22"/>
            <w:lang w:val="en-GB"/>
          </w:rPr>
          <w:t>https://ec.europa.eu/regional_policy/sources/graph/poster2021/eu27.png</w:t>
        </w:r>
      </w:hyperlink>
      <w:r>
        <w:rPr>
          <w:sz w:val="22"/>
          <w:szCs w:val="22"/>
          <w:lang w:val="en-GB"/>
        </w:rPr>
        <w:t xml:space="preserve"> </w:t>
      </w:r>
    </w:p>
    <w:p w14:paraId="5789426B" w14:textId="2A9D92EB" w:rsidR="00F55C2D" w:rsidRPr="00047408" w:rsidRDefault="00FE1D38" w:rsidP="00047408">
      <w:pPr>
        <w:pStyle w:val="Default"/>
        <w:numPr>
          <w:ilvl w:val="0"/>
          <w:numId w:val="9"/>
        </w:numPr>
        <w:spacing w:after="120"/>
        <w:ind w:hanging="357"/>
        <w:jc w:val="both"/>
        <w:rPr>
          <w:sz w:val="22"/>
          <w:szCs w:val="22"/>
          <w:lang w:val="en-GB"/>
        </w:rPr>
      </w:pPr>
      <w:r w:rsidRPr="00F86462">
        <w:rPr>
          <w:sz w:val="22"/>
          <w:szCs w:val="22"/>
          <w:lang w:val="en-GB"/>
        </w:rPr>
        <w:lastRenderedPageBreak/>
        <w:t>Regions eligible for funding from the European Regional Development Fund (ERDF) and European Social Fund Plus (ESF+) under the less developed regions category</w:t>
      </w:r>
      <w:r w:rsidR="00047408" w:rsidRPr="00047408">
        <w:rPr>
          <w:sz w:val="22"/>
          <w:szCs w:val="22"/>
          <w:lang w:val="en-GB"/>
        </w:rPr>
        <w:t xml:space="preserve">: </w:t>
      </w:r>
      <w:hyperlink r:id="rId6" w:history="1">
        <w:r w:rsidRPr="00047408">
          <w:rPr>
            <w:lang w:val="en-GB"/>
          </w:rPr>
          <w:t>https://eur-lex.europa.eu/legal-content/EN/TXT/PDF/?uri=CELEX:32021D1130&amp;from=EN</w:t>
        </w:r>
      </w:hyperlink>
      <w:r w:rsidRPr="00F86462">
        <w:rPr>
          <w:sz w:val="22"/>
          <w:szCs w:val="22"/>
          <w:lang w:val="en-GB"/>
        </w:rPr>
        <w:t xml:space="preserve"> </w:t>
      </w:r>
    </w:p>
    <w:p w14:paraId="4F62438E" w14:textId="07C679A1" w:rsidR="00F55C2D" w:rsidRPr="00F86462" w:rsidRDefault="00F55C2D" w:rsidP="00F86462">
      <w:pPr>
        <w:spacing w:after="0" w:line="240" w:lineRule="auto"/>
        <w:jc w:val="both"/>
        <w:rPr>
          <w:rFonts w:ascii="Cambria" w:hAnsi="Cambria"/>
          <w:lang w:val="en-GB"/>
        </w:rPr>
      </w:pPr>
    </w:p>
    <w:p w14:paraId="0D2DE241" w14:textId="1CDEA9A6" w:rsidR="00F55C2D" w:rsidRPr="00047408" w:rsidRDefault="00047408" w:rsidP="00047408">
      <w:pPr>
        <w:pStyle w:val="Default"/>
        <w:jc w:val="both"/>
        <w:rPr>
          <w:b/>
          <w:bCs/>
          <w:sz w:val="22"/>
          <w:szCs w:val="22"/>
          <w:u w:val="single"/>
          <w:lang w:val="en-GB"/>
        </w:rPr>
      </w:pPr>
      <w:r w:rsidRPr="00047408">
        <w:rPr>
          <w:b/>
          <w:bCs/>
          <w:sz w:val="22"/>
          <w:szCs w:val="22"/>
          <w:u w:val="single"/>
          <w:lang w:val="en-GB"/>
        </w:rPr>
        <w:t>HORIZONTAL THEMES</w:t>
      </w:r>
    </w:p>
    <w:p w14:paraId="230F378C" w14:textId="77777777" w:rsidR="00047408" w:rsidRPr="00F86462" w:rsidRDefault="00047408" w:rsidP="00F86462">
      <w:pPr>
        <w:spacing w:after="0" w:line="240" w:lineRule="auto"/>
        <w:jc w:val="both"/>
        <w:rPr>
          <w:rFonts w:ascii="Cambria" w:hAnsi="Cambria"/>
          <w:lang w:val="en-GB"/>
        </w:rPr>
      </w:pPr>
    </w:p>
    <w:p w14:paraId="70B396D8" w14:textId="70FD2409" w:rsidR="00F55C2D" w:rsidRPr="00047408" w:rsidRDefault="00F55C2D" w:rsidP="00047408">
      <w:pPr>
        <w:pStyle w:val="Default"/>
        <w:numPr>
          <w:ilvl w:val="0"/>
          <w:numId w:val="9"/>
        </w:numPr>
        <w:spacing w:after="120"/>
        <w:ind w:hanging="357"/>
        <w:jc w:val="both"/>
        <w:rPr>
          <w:sz w:val="22"/>
          <w:szCs w:val="22"/>
          <w:lang w:val="en-GB"/>
        </w:rPr>
      </w:pPr>
      <w:r w:rsidRPr="00047408">
        <w:rPr>
          <w:sz w:val="22"/>
          <w:szCs w:val="22"/>
          <w:lang w:val="en-GB"/>
        </w:rPr>
        <w:t>Article 11 Regulation (EU) 2021/1058 requires that a minimum of 8% of ERDF resources per Member State be allocated to integrated territorial development focused on urban areas (sustainable urban development). Special attention shall be given to tackling environmental and climate challenges, notably the transition towards a climate neutral economy by 2050, to harnessing the potential of digital</w:t>
      </w:r>
      <w:r w:rsidRPr="00F86462">
        <w:rPr>
          <w:sz w:val="22"/>
          <w:szCs w:val="22"/>
          <w:lang w:val="en-GB"/>
        </w:rPr>
        <w:t xml:space="preserve"> technologies for innovation purposes, and to supporting the development of functional urban areas</w:t>
      </w:r>
      <w:r w:rsidR="00047408">
        <w:rPr>
          <w:sz w:val="22"/>
          <w:szCs w:val="22"/>
          <w:lang w:val="en-GB"/>
        </w:rPr>
        <w:t>.</w:t>
      </w:r>
    </w:p>
    <w:p w14:paraId="09EF34CC" w14:textId="0DC82667" w:rsidR="00047408" w:rsidRPr="00047408" w:rsidRDefault="00047408" w:rsidP="00047408">
      <w:pPr>
        <w:pStyle w:val="Default"/>
        <w:numPr>
          <w:ilvl w:val="0"/>
          <w:numId w:val="9"/>
        </w:numPr>
        <w:spacing w:after="120"/>
        <w:ind w:hanging="357"/>
        <w:jc w:val="both"/>
        <w:rPr>
          <w:sz w:val="22"/>
          <w:szCs w:val="22"/>
          <w:lang w:val="en-GB"/>
        </w:rPr>
      </w:pPr>
      <w:r>
        <w:rPr>
          <w:sz w:val="22"/>
          <w:szCs w:val="22"/>
          <w:lang w:val="en-GB"/>
        </w:rPr>
        <w:t xml:space="preserve">Partners </w:t>
      </w:r>
      <w:r w:rsidR="00FE1D38" w:rsidRPr="00F86462">
        <w:rPr>
          <w:sz w:val="22"/>
          <w:szCs w:val="22"/>
          <w:lang w:val="en-GB"/>
        </w:rPr>
        <w:t xml:space="preserve">also </w:t>
      </w:r>
      <w:proofErr w:type="gramStart"/>
      <w:r w:rsidR="00FE1D38" w:rsidRPr="00F86462">
        <w:rPr>
          <w:sz w:val="22"/>
          <w:szCs w:val="22"/>
          <w:lang w:val="en-GB"/>
        </w:rPr>
        <w:t>have to</w:t>
      </w:r>
      <w:proofErr w:type="gramEnd"/>
      <w:r w:rsidR="00FE1D38" w:rsidRPr="00F86462">
        <w:rPr>
          <w:sz w:val="22"/>
          <w:szCs w:val="22"/>
          <w:lang w:val="en-GB"/>
        </w:rPr>
        <w:t xml:space="preserve"> reflect on how their activities and action plans address the cross-cutting principles of green transition, digital transformation, and gender equality. URBACT invites to take the extra mile and consider how these holistic themes can be part of the analysed challenges and solutions.</w:t>
      </w:r>
    </w:p>
    <w:p w14:paraId="0386729F" w14:textId="43DB6A3A" w:rsidR="00FE1D38" w:rsidRPr="00047408" w:rsidRDefault="00047408" w:rsidP="003C1765">
      <w:pPr>
        <w:pStyle w:val="Default"/>
        <w:numPr>
          <w:ilvl w:val="0"/>
          <w:numId w:val="9"/>
        </w:numPr>
        <w:spacing w:after="120"/>
        <w:ind w:hanging="357"/>
        <w:jc w:val="both"/>
        <w:rPr>
          <w:sz w:val="22"/>
          <w:szCs w:val="22"/>
          <w:lang w:val="en-GB"/>
        </w:rPr>
      </w:pPr>
      <w:r w:rsidRPr="00047408">
        <w:rPr>
          <w:sz w:val="22"/>
          <w:szCs w:val="22"/>
          <w:lang w:val="en-GB"/>
        </w:rPr>
        <w:t>In addition</w:t>
      </w:r>
      <w:r>
        <w:rPr>
          <w:sz w:val="22"/>
          <w:szCs w:val="22"/>
          <w:lang w:val="en-GB"/>
        </w:rPr>
        <w:t>,</w:t>
      </w:r>
      <w:r w:rsidRPr="00047408">
        <w:rPr>
          <w:sz w:val="22"/>
          <w:szCs w:val="22"/>
          <w:lang w:val="en-GB"/>
        </w:rPr>
        <w:t xml:space="preserve"> a</w:t>
      </w:r>
      <w:r w:rsidR="00FE1D38" w:rsidRPr="00047408">
        <w:rPr>
          <w:sz w:val="22"/>
          <w:szCs w:val="22"/>
          <w:lang w:val="en-GB"/>
        </w:rPr>
        <w:t xml:space="preserve">pplicants are encouraged to take into consideration, when relevant, how the network can link to </w:t>
      </w:r>
      <w:r w:rsidRPr="00047408">
        <w:rPr>
          <w:sz w:val="22"/>
          <w:szCs w:val="22"/>
          <w:lang w:val="en-GB"/>
        </w:rPr>
        <w:t xml:space="preserve">other major EU policies such as the </w:t>
      </w:r>
      <w:r w:rsidR="00FE1D38" w:rsidRPr="00047408">
        <w:rPr>
          <w:sz w:val="22"/>
          <w:szCs w:val="22"/>
          <w:lang w:val="en-GB"/>
        </w:rPr>
        <w:t>Urban Agenda for the European Union,</w:t>
      </w:r>
      <w:r w:rsidRPr="00047408">
        <w:rPr>
          <w:sz w:val="22"/>
          <w:szCs w:val="22"/>
          <w:lang w:val="en-GB"/>
        </w:rPr>
        <w:t xml:space="preserve"> </w:t>
      </w:r>
      <w:r w:rsidR="00FE1D38" w:rsidRPr="00047408">
        <w:rPr>
          <w:sz w:val="22"/>
          <w:szCs w:val="22"/>
          <w:lang w:val="en-GB"/>
        </w:rPr>
        <w:t>European Innovation Partnership on smart cities and communities, the Covenant of Mayors for Climate and Energy, the EU Mission on 100 Climate-Neutral and Smart Cities, the Intelligent Cities Challenge, the Digital Europe Programme</w:t>
      </w:r>
      <w:r w:rsidRPr="00047408">
        <w:rPr>
          <w:sz w:val="22"/>
          <w:szCs w:val="22"/>
          <w:lang w:val="en-GB"/>
        </w:rPr>
        <w:t xml:space="preserve">, </w:t>
      </w:r>
      <w:r w:rsidR="00FE1D38" w:rsidRPr="00047408">
        <w:rPr>
          <w:sz w:val="22"/>
          <w:szCs w:val="22"/>
          <w:lang w:val="en-GB"/>
        </w:rPr>
        <w:t>New European Bauhaus</w:t>
      </w:r>
      <w:r>
        <w:rPr>
          <w:sz w:val="22"/>
          <w:szCs w:val="22"/>
          <w:lang w:val="en-GB"/>
        </w:rPr>
        <w:t>, etc.</w:t>
      </w:r>
      <w:r w:rsidR="00FE1D38" w:rsidRPr="00047408">
        <w:rPr>
          <w:sz w:val="22"/>
          <w:szCs w:val="22"/>
          <w:lang w:val="en-GB"/>
        </w:rPr>
        <w:t xml:space="preserve"> </w:t>
      </w:r>
    </w:p>
    <w:p w14:paraId="7A1F6841" w14:textId="29298BC8" w:rsidR="00FE1D38" w:rsidRPr="00F86462" w:rsidRDefault="00FE1D38" w:rsidP="00F86462">
      <w:pPr>
        <w:spacing w:after="0" w:line="240" w:lineRule="auto"/>
        <w:jc w:val="both"/>
        <w:rPr>
          <w:rFonts w:ascii="Cambria" w:hAnsi="Cambria"/>
          <w:lang w:val="en-GB"/>
        </w:rPr>
      </w:pPr>
    </w:p>
    <w:p w14:paraId="12E2A569" w14:textId="1FF99E63" w:rsidR="00FE1D38" w:rsidRPr="00047408" w:rsidRDefault="00047408" w:rsidP="00F86462">
      <w:pPr>
        <w:pStyle w:val="Default"/>
        <w:jc w:val="both"/>
        <w:rPr>
          <w:b/>
          <w:bCs/>
          <w:sz w:val="22"/>
          <w:szCs w:val="22"/>
          <w:u w:val="single"/>
          <w:lang w:val="en-GB"/>
        </w:rPr>
      </w:pPr>
      <w:r w:rsidRPr="00047408">
        <w:rPr>
          <w:b/>
          <w:bCs/>
          <w:sz w:val="22"/>
          <w:szCs w:val="22"/>
          <w:u w:val="single"/>
          <w:lang w:val="en-GB"/>
        </w:rPr>
        <w:t>DURATION AND PROJECT STRUCTURE</w:t>
      </w:r>
    </w:p>
    <w:p w14:paraId="463DF788" w14:textId="524E05C1" w:rsidR="00047408" w:rsidRDefault="00047408" w:rsidP="00F86462">
      <w:pPr>
        <w:pStyle w:val="Default"/>
        <w:jc w:val="both"/>
        <w:rPr>
          <w:sz w:val="22"/>
          <w:szCs w:val="22"/>
          <w:lang w:val="en-GB"/>
        </w:rPr>
      </w:pPr>
    </w:p>
    <w:p w14:paraId="739378D7" w14:textId="77777777" w:rsidR="00FE1D38" w:rsidRPr="00F86462" w:rsidRDefault="00FE1D38" w:rsidP="00047408">
      <w:pPr>
        <w:pStyle w:val="Default"/>
        <w:numPr>
          <w:ilvl w:val="0"/>
          <w:numId w:val="9"/>
        </w:numPr>
        <w:spacing w:after="120"/>
        <w:ind w:hanging="357"/>
        <w:jc w:val="both"/>
        <w:rPr>
          <w:sz w:val="22"/>
          <w:szCs w:val="22"/>
          <w:lang w:val="en-GB"/>
        </w:rPr>
      </w:pPr>
      <w:r w:rsidRPr="00F86462">
        <w:rPr>
          <w:sz w:val="22"/>
          <w:szCs w:val="22"/>
          <w:lang w:val="en-GB"/>
        </w:rPr>
        <w:t xml:space="preserve">Under this call, networks are approved for a total duration of 31 months and shall NOT submit a new application for assessment before </w:t>
      </w:r>
      <w:proofErr w:type="gramStart"/>
      <w:r w:rsidRPr="00F86462">
        <w:rPr>
          <w:sz w:val="22"/>
          <w:szCs w:val="22"/>
          <w:lang w:val="en-GB"/>
        </w:rPr>
        <w:t>entering into</w:t>
      </w:r>
      <w:proofErr w:type="gramEnd"/>
      <w:r w:rsidRPr="00F86462">
        <w:rPr>
          <w:sz w:val="22"/>
          <w:szCs w:val="22"/>
          <w:lang w:val="en-GB"/>
        </w:rPr>
        <w:t xml:space="preserve"> Stage 2. </w:t>
      </w:r>
    </w:p>
    <w:p w14:paraId="7B8FD207" w14:textId="2896A415" w:rsidR="00FE1D38" w:rsidRPr="00F86462" w:rsidRDefault="00FE1D38" w:rsidP="00047408">
      <w:pPr>
        <w:pStyle w:val="Default"/>
        <w:numPr>
          <w:ilvl w:val="0"/>
          <w:numId w:val="9"/>
        </w:numPr>
        <w:spacing w:after="120"/>
        <w:ind w:hanging="357"/>
        <w:jc w:val="both"/>
        <w:rPr>
          <w:sz w:val="22"/>
          <w:szCs w:val="22"/>
          <w:lang w:val="en-GB"/>
        </w:rPr>
      </w:pPr>
      <w:r w:rsidRPr="00F86462">
        <w:rPr>
          <w:sz w:val="22"/>
          <w:szCs w:val="22"/>
          <w:lang w:val="en-GB"/>
        </w:rPr>
        <w:t>At the end of Stage 1</w:t>
      </w:r>
      <w:r w:rsidR="00D61D59">
        <w:rPr>
          <w:sz w:val="22"/>
          <w:szCs w:val="22"/>
          <w:lang w:val="en-GB"/>
        </w:rPr>
        <w:t xml:space="preserve"> (Activation, 7 months)</w:t>
      </w:r>
      <w:r w:rsidRPr="00F86462">
        <w:rPr>
          <w:sz w:val="22"/>
          <w:szCs w:val="22"/>
          <w:lang w:val="en-GB"/>
        </w:rPr>
        <w:t xml:space="preserve">, the Network Roadmap (Baseline Study) will be reviewed by the External Assessment Panel to ensure sufficient quality to proceed into Stage 2. </w:t>
      </w:r>
    </w:p>
    <w:p w14:paraId="6AF09AF7" w14:textId="54107FC8" w:rsidR="00FE1D38" w:rsidRPr="00F86462" w:rsidRDefault="00FE1D38" w:rsidP="00047408">
      <w:pPr>
        <w:pStyle w:val="Default"/>
        <w:numPr>
          <w:ilvl w:val="0"/>
          <w:numId w:val="9"/>
        </w:numPr>
        <w:spacing w:after="120"/>
        <w:ind w:hanging="357"/>
        <w:jc w:val="both"/>
        <w:rPr>
          <w:sz w:val="22"/>
          <w:szCs w:val="22"/>
          <w:lang w:val="en-GB"/>
        </w:rPr>
      </w:pPr>
      <w:r w:rsidRPr="00F86462">
        <w:rPr>
          <w:sz w:val="22"/>
          <w:szCs w:val="22"/>
          <w:lang w:val="en-GB"/>
        </w:rPr>
        <w:t>The passage from Stage 1 to Stage 2 is NOT automatic. No official approval will be needed to proceed into Stage 2</w:t>
      </w:r>
      <w:r w:rsidR="00047408">
        <w:rPr>
          <w:sz w:val="22"/>
          <w:szCs w:val="22"/>
          <w:lang w:val="en-GB"/>
        </w:rPr>
        <w:t>,</w:t>
      </w:r>
      <w:r w:rsidRPr="00F86462">
        <w:rPr>
          <w:sz w:val="22"/>
          <w:szCs w:val="22"/>
          <w:lang w:val="en-GB"/>
        </w:rPr>
        <w:t xml:space="preserve"> but projects can be stopped</w:t>
      </w:r>
      <w:r w:rsidR="00047408">
        <w:rPr>
          <w:sz w:val="22"/>
          <w:szCs w:val="22"/>
          <w:lang w:val="en-GB"/>
        </w:rPr>
        <w:t>,</w:t>
      </w:r>
      <w:r w:rsidRPr="00F86462">
        <w:rPr>
          <w:sz w:val="22"/>
          <w:szCs w:val="22"/>
          <w:lang w:val="en-GB"/>
        </w:rPr>
        <w:t xml:space="preserve"> if they </w:t>
      </w:r>
      <w:proofErr w:type="gramStart"/>
      <w:r w:rsidRPr="00F86462">
        <w:rPr>
          <w:sz w:val="22"/>
          <w:szCs w:val="22"/>
          <w:lang w:val="en-GB"/>
        </w:rPr>
        <w:t>are considered to be</w:t>
      </w:r>
      <w:proofErr w:type="gramEnd"/>
      <w:r w:rsidRPr="00F86462">
        <w:rPr>
          <w:sz w:val="22"/>
          <w:szCs w:val="22"/>
          <w:lang w:val="en-GB"/>
        </w:rPr>
        <w:t xml:space="preserve"> of poor quality.</w:t>
      </w:r>
    </w:p>
    <w:p w14:paraId="215E84EC" w14:textId="1EC8F559" w:rsidR="00D61D59" w:rsidRPr="00F86462" w:rsidRDefault="00D61D59" w:rsidP="00D61D59">
      <w:pPr>
        <w:pStyle w:val="Default"/>
        <w:numPr>
          <w:ilvl w:val="0"/>
          <w:numId w:val="9"/>
        </w:numPr>
        <w:spacing w:after="120"/>
        <w:ind w:hanging="357"/>
        <w:jc w:val="both"/>
        <w:rPr>
          <w:sz w:val="22"/>
          <w:szCs w:val="22"/>
          <w:lang w:val="en-GB"/>
        </w:rPr>
      </w:pPr>
      <w:r w:rsidRPr="00F86462">
        <w:rPr>
          <w:sz w:val="22"/>
          <w:szCs w:val="22"/>
          <w:lang w:val="en-GB"/>
        </w:rPr>
        <w:t>Stage 1 is dedicated to developing detailed network activities and ensuring a well-balanced and coherent partnership</w:t>
      </w:r>
      <w:r>
        <w:rPr>
          <w:sz w:val="22"/>
          <w:szCs w:val="22"/>
          <w:lang w:val="en-GB"/>
        </w:rPr>
        <w:t>: two meetings, consolidation of the partnership, setting up local groups, Network Roadmap (Baseline Study), Communication Plan</w:t>
      </w:r>
      <w:proofErr w:type="gramStart"/>
      <w:r>
        <w:rPr>
          <w:sz w:val="22"/>
          <w:szCs w:val="22"/>
          <w:lang w:val="en-GB"/>
        </w:rPr>
        <w:t xml:space="preserve">. </w:t>
      </w:r>
      <w:r w:rsidRPr="00F86462">
        <w:rPr>
          <w:sz w:val="22"/>
          <w:szCs w:val="22"/>
          <w:lang w:val="en-GB"/>
        </w:rPr>
        <w:t>.</w:t>
      </w:r>
      <w:proofErr w:type="gramEnd"/>
    </w:p>
    <w:p w14:paraId="17F6681E" w14:textId="77777777" w:rsidR="00D61D59" w:rsidRPr="00D61D59" w:rsidRDefault="00D61D59" w:rsidP="00D61D59">
      <w:pPr>
        <w:pStyle w:val="Default"/>
        <w:numPr>
          <w:ilvl w:val="0"/>
          <w:numId w:val="9"/>
        </w:numPr>
        <w:spacing w:after="120"/>
        <w:ind w:hanging="357"/>
        <w:jc w:val="both"/>
        <w:rPr>
          <w:sz w:val="22"/>
          <w:szCs w:val="22"/>
          <w:lang w:val="en-GB"/>
        </w:rPr>
      </w:pPr>
      <w:r w:rsidRPr="00D61D59">
        <w:rPr>
          <w:sz w:val="22"/>
          <w:szCs w:val="22"/>
          <w:lang w:val="en-GB"/>
        </w:rPr>
        <w:t xml:space="preserve">The duration of Stages 2 to 4 is 24 months, starting from 1st January 2024. These 24 months are dedicated to the implementation of network activities spread across: </w:t>
      </w:r>
    </w:p>
    <w:p w14:paraId="6304FE91" w14:textId="77777777" w:rsidR="00D61D59" w:rsidRPr="00D61D59" w:rsidRDefault="00D61D59" w:rsidP="00D61D59">
      <w:pPr>
        <w:pStyle w:val="Default"/>
        <w:numPr>
          <w:ilvl w:val="0"/>
          <w:numId w:val="9"/>
        </w:numPr>
        <w:spacing w:after="120"/>
        <w:ind w:left="1701" w:hanging="357"/>
        <w:jc w:val="both"/>
        <w:rPr>
          <w:sz w:val="22"/>
          <w:szCs w:val="22"/>
          <w:lang w:val="en-GB"/>
        </w:rPr>
      </w:pPr>
      <w:r w:rsidRPr="00D61D59">
        <w:rPr>
          <w:sz w:val="22"/>
          <w:szCs w:val="22"/>
          <w:lang w:val="en-GB"/>
        </w:rPr>
        <w:t xml:space="preserve">Stage 2 – Planning Actions: 12 months </w:t>
      </w:r>
    </w:p>
    <w:p w14:paraId="51A6FF4E" w14:textId="77777777" w:rsidR="00D61D59" w:rsidRPr="00D61D59" w:rsidRDefault="00D61D59" w:rsidP="00D61D59">
      <w:pPr>
        <w:pStyle w:val="Default"/>
        <w:numPr>
          <w:ilvl w:val="0"/>
          <w:numId w:val="9"/>
        </w:numPr>
        <w:spacing w:after="120"/>
        <w:ind w:left="1701" w:hanging="357"/>
        <w:jc w:val="both"/>
        <w:rPr>
          <w:sz w:val="22"/>
          <w:szCs w:val="22"/>
          <w:lang w:val="en-GB"/>
        </w:rPr>
      </w:pPr>
      <w:r w:rsidRPr="00D61D59">
        <w:rPr>
          <w:sz w:val="22"/>
          <w:szCs w:val="22"/>
          <w:lang w:val="en-GB"/>
        </w:rPr>
        <w:t xml:space="preserve">Stage 3 – Preparing/Getting ready for Implementation: 9 months </w:t>
      </w:r>
    </w:p>
    <w:p w14:paraId="3356D6FD" w14:textId="0E9D2C21" w:rsidR="00D61D59" w:rsidRDefault="00D61D59" w:rsidP="00D61D59">
      <w:pPr>
        <w:pStyle w:val="Default"/>
        <w:numPr>
          <w:ilvl w:val="0"/>
          <w:numId w:val="9"/>
        </w:numPr>
        <w:spacing w:after="120"/>
        <w:ind w:left="1701" w:hanging="357"/>
        <w:jc w:val="both"/>
        <w:rPr>
          <w:sz w:val="22"/>
          <w:szCs w:val="22"/>
          <w:lang w:val="en-GB"/>
        </w:rPr>
      </w:pPr>
      <w:r w:rsidRPr="00D61D59">
        <w:rPr>
          <w:sz w:val="22"/>
          <w:szCs w:val="22"/>
          <w:lang w:val="en-GB"/>
        </w:rPr>
        <w:t>Stage 4 – Finale: 3 last months</w:t>
      </w:r>
    </w:p>
    <w:p w14:paraId="138B6143" w14:textId="5D84B9F8" w:rsidR="00D61D59" w:rsidRPr="00047408" w:rsidRDefault="00D61D59" w:rsidP="00D61D59">
      <w:pPr>
        <w:pStyle w:val="Default"/>
        <w:jc w:val="both"/>
        <w:rPr>
          <w:b/>
          <w:bCs/>
          <w:sz w:val="22"/>
          <w:szCs w:val="22"/>
          <w:u w:val="single"/>
          <w:lang w:val="en-GB"/>
        </w:rPr>
      </w:pPr>
      <w:r>
        <w:rPr>
          <w:b/>
          <w:bCs/>
          <w:sz w:val="22"/>
          <w:szCs w:val="22"/>
          <w:u w:val="single"/>
          <w:lang w:val="en-GB"/>
        </w:rPr>
        <w:t>BUDGET</w:t>
      </w:r>
    </w:p>
    <w:p w14:paraId="2CBE8FAB" w14:textId="6CFA79B0" w:rsidR="006E4485" w:rsidRDefault="006E4485" w:rsidP="00D61D59">
      <w:pPr>
        <w:pStyle w:val="Default"/>
        <w:spacing w:after="120"/>
        <w:jc w:val="both"/>
        <w:rPr>
          <w:sz w:val="22"/>
          <w:szCs w:val="22"/>
          <w:lang w:val="en-GB"/>
        </w:rPr>
      </w:pPr>
    </w:p>
    <w:p w14:paraId="0961602C" w14:textId="77777777" w:rsidR="00D61D59" w:rsidRPr="003E240E" w:rsidRDefault="00D61D59" w:rsidP="003E240E">
      <w:pPr>
        <w:pStyle w:val="Default"/>
        <w:numPr>
          <w:ilvl w:val="0"/>
          <w:numId w:val="9"/>
        </w:numPr>
        <w:spacing w:after="120"/>
        <w:ind w:hanging="357"/>
        <w:jc w:val="both"/>
        <w:rPr>
          <w:sz w:val="22"/>
          <w:szCs w:val="22"/>
          <w:lang w:val="en-GB"/>
        </w:rPr>
      </w:pPr>
      <w:r w:rsidRPr="003E240E">
        <w:rPr>
          <w:sz w:val="22"/>
          <w:szCs w:val="22"/>
          <w:lang w:val="en-GB"/>
        </w:rPr>
        <w:t xml:space="preserve">Partners from “more developed regions” are co-financed up to 65% by ERDF. </w:t>
      </w:r>
    </w:p>
    <w:p w14:paraId="77B31C9F" w14:textId="33B0C867" w:rsidR="00D61D59" w:rsidRPr="003E240E" w:rsidRDefault="00D61D59" w:rsidP="003E240E">
      <w:pPr>
        <w:pStyle w:val="Default"/>
        <w:numPr>
          <w:ilvl w:val="0"/>
          <w:numId w:val="9"/>
        </w:numPr>
        <w:spacing w:after="120"/>
        <w:ind w:hanging="357"/>
        <w:jc w:val="both"/>
        <w:rPr>
          <w:sz w:val="22"/>
          <w:szCs w:val="22"/>
          <w:lang w:val="en-GB"/>
        </w:rPr>
      </w:pPr>
      <w:r w:rsidRPr="003E240E">
        <w:rPr>
          <w:sz w:val="22"/>
          <w:szCs w:val="22"/>
          <w:lang w:val="en-GB"/>
        </w:rPr>
        <w:t xml:space="preserve">Partners from “transition regions” are co-financed up to 70% by ERDF. </w:t>
      </w:r>
    </w:p>
    <w:p w14:paraId="2D5DF926" w14:textId="7532EA7A" w:rsidR="00D61D59" w:rsidRPr="003E240E" w:rsidRDefault="00D61D59" w:rsidP="003E240E">
      <w:pPr>
        <w:pStyle w:val="Default"/>
        <w:numPr>
          <w:ilvl w:val="0"/>
          <w:numId w:val="9"/>
        </w:numPr>
        <w:spacing w:after="120"/>
        <w:ind w:hanging="357"/>
        <w:jc w:val="both"/>
        <w:rPr>
          <w:sz w:val="22"/>
          <w:szCs w:val="22"/>
          <w:lang w:val="en-GB"/>
        </w:rPr>
      </w:pPr>
      <w:r w:rsidRPr="003E240E">
        <w:rPr>
          <w:sz w:val="22"/>
          <w:szCs w:val="22"/>
          <w:lang w:val="en-GB"/>
        </w:rPr>
        <w:t xml:space="preserve">Partners from “less developed regions” are co-financed up to 80% by ERDF. </w:t>
      </w:r>
    </w:p>
    <w:p w14:paraId="601B3D50" w14:textId="5FB34056" w:rsidR="00D61D59" w:rsidRPr="003E240E" w:rsidRDefault="003E240E" w:rsidP="003E240E">
      <w:pPr>
        <w:pStyle w:val="Default"/>
        <w:numPr>
          <w:ilvl w:val="0"/>
          <w:numId w:val="9"/>
        </w:numPr>
        <w:spacing w:after="120"/>
        <w:ind w:hanging="357"/>
        <w:jc w:val="both"/>
        <w:rPr>
          <w:sz w:val="22"/>
          <w:szCs w:val="22"/>
          <w:lang w:val="en-GB"/>
        </w:rPr>
      </w:pPr>
      <w:r w:rsidRPr="003E240E">
        <w:rPr>
          <w:sz w:val="22"/>
          <w:szCs w:val="22"/>
          <w:lang w:val="en-GB"/>
        </w:rPr>
        <w:t>The maximum total eligible budget for an Action Planning Network shall be EUR 850 000 (</w:t>
      </w:r>
      <w:r w:rsidRPr="003E240E">
        <w:rPr>
          <w:b/>
          <w:bCs/>
          <w:sz w:val="22"/>
          <w:szCs w:val="22"/>
          <w:lang w:val="en-GB"/>
        </w:rPr>
        <w:t>including</w:t>
      </w:r>
      <w:r w:rsidRPr="003E240E">
        <w:rPr>
          <w:sz w:val="22"/>
          <w:szCs w:val="22"/>
          <w:lang w:val="en-GB"/>
        </w:rPr>
        <w:t xml:space="preserve"> ERDF, IPA funds and local co-financing).</w:t>
      </w:r>
    </w:p>
    <w:p w14:paraId="15116A59" w14:textId="77777777" w:rsidR="003E240E" w:rsidRDefault="003E240E" w:rsidP="003E240E">
      <w:pPr>
        <w:pStyle w:val="Default"/>
        <w:jc w:val="both"/>
        <w:rPr>
          <w:b/>
          <w:bCs/>
          <w:sz w:val="22"/>
          <w:szCs w:val="22"/>
          <w:u w:val="single"/>
          <w:lang w:val="en-GB"/>
        </w:rPr>
      </w:pPr>
    </w:p>
    <w:p w14:paraId="50CAC8FF" w14:textId="77777777" w:rsidR="003E240E" w:rsidRDefault="003E240E" w:rsidP="003E240E">
      <w:pPr>
        <w:pStyle w:val="Default"/>
        <w:jc w:val="both"/>
        <w:rPr>
          <w:b/>
          <w:bCs/>
          <w:sz w:val="22"/>
          <w:szCs w:val="22"/>
          <w:u w:val="single"/>
          <w:lang w:val="en-GB"/>
        </w:rPr>
      </w:pPr>
    </w:p>
    <w:p w14:paraId="6C446500" w14:textId="77777777" w:rsidR="003E240E" w:rsidRDefault="003E240E" w:rsidP="003E240E">
      <w:pPr>
        <w:pStyle w:val="Default"/>
        <w:jc w:val="both"/>
        <w:rPr>
          <w:b/>
          <w:bCs/>
          <w:sz w:val="22"/>
          <w:szCs w:val="22"/>
          <w:u w:val="single"/>
          <w:lang w:val="en-GB"/>
        </w:rPr>
      </w:pPr>
    </w:p>
    <w:p w14:paraId="1349F81C" w14:textId="0E8DAD77" w:rsidR="003E240E" w:rsidRPr="00047408" w:rsidRDefault="003E240E" w:rsidP="003E240E">
      <w:pPr>
        <w:pStyle w:val="Default"/>
        <w:jc w:val="both"/>
        <w:rPr>
          <w:b/>
          <w:bCs/>
          <w:sz w:val="22"/>
          <w:szCs w:val="22"/>
          <w:u w:val="single"/>
          <w:lang w:val="en-GB"/>
        </w:rPr>
      </w:pPr>
      <w:r>
        <w:rPr>
          <w:b/>
          <w:bCs/>
          <w:sz w:val="22"/>
          <w:szCs w:val="22"/>
          <w:u w:val="single"/>
          <w:lang w:val="en-GB"/>
        </w:rPr>
        <w:lastRenderedPageBreak/>
        <w:t>EXPERTISE</w:t>
      </w:r>
    </w:p>
    <w:p w14:paraId="6B9020DF" w14:textId="77777777" w:rsidR="003E240E" w:rsidRDefault="003E240E" w:rsidP="00D61D59">
      <w:pPr>
        <w:pStyle w:val="Default"/>
        <w:spacing w:after="120"/>
        <w:jc w:val="both"/>
        <w:rPr>
          <w:sz w:val="22"/>
          <w:szCs w:val="22"/>
        </w:rPr>
      </w:pPr>
    </w:p>
    <w:p w14:paraId="29B4E1C8" w14:textId="2DF35853" w:rsidR="003E240E" w:rsidRPr="003E240E" w:rsidRDefault="003E240E" w:rsidP="003E240E">
      <w:pPr>
        <w:pStyle w:val="Default"/>
        <w:numPr>
          <w:ilvl w:val="0"/>
          <w:numId w:val="9"/>
        </w:numPr>
        <w:spacing w:after="120"/>
        <w:ind w:hanging="357"/>
        <w:jc w:val="both"/>
        <w:rPr>
          <w:sz w:val="22"/>
          <w:szCs w:val="22"/>
          <w:lang w:val="en-GB"/>
        </w:rPr>
      </w:pPr>
      <w:r w:rsidRPr="003E240E">
        <w:rPr>
          <w:sz w:val="22"/>
          <w:szCs w:val="22"/>
          <w:lang w:val="en-GB"/>
        </w:rPr>
        <w:t>Each network shall have a specific expertise budget of EUR 144 500 to cover the costs of expertise support over the entire lifetime of the project. This expertise budget is in addition to the network budget and without the co-funding rates applied. The daily expertise fee for URBACT network experts is set at EUR 850 per day all taxes included, therefore a maximum of 170 days of expertise is available for each network regardless of the number of partners.</w:t>
      </w:r>
    </w:p>
    <w:p w14:paraId="42796949" w14:textId="01161D7E" w:rsidR="003E240E" w:rsidRPr="003E240E" w:rsidRDefault="003E240E" w:rsidP="003E240E">
      <w:pPr>
        <w:pStyle w:val="Default"/>
        <w:numPr>
          <w:ilvl w:val="0"/>
          <w:numId w:val="9"/>
        </w:numPr>
        <w:spacing w:after="120"/>
        <w:ind w:hanging="357"/>
        <w:jc w:val="both"/>
        <w:rPr>
          <w:sz w:val="22"/>
          <w:szCs w:val="22"/>
          <w:lang w:val="en-GB"/>
        </w:rPr>
      </w:pPr>
      <w:r w:rsidRPr="003E240E">
        <w:rPr>
          <w:sz w:val="22"/>
          <w:szCs w:val="22"/>
          <w:lang w:val="en-GB"/>
        </w:rPr>
        <w:t>Networks shall appoint a Lead Expert, as well as at least two Ad-Hoc Experts throughout the network lifetime for support with the delivery of all planned activities and expected deliverables</w:t>
      </w:r>
      <w:r>
        <w:rPr>
          <w:sz w:val="22"/>
          <w:szCs w:val="22"/>
          <w:lang w:val="en-GB"/>
        </w:rPr>
        <w:t>.</w:t>
      </w:r>
    </w:p>
    <w:p w14:paraId="21317CD7" w14:textId="36858F31" w:rsidR="003E240E" w:rsidRPr="003E240E" w:rsidRDefault="003E240E" w:rsidP="00B37AD3">
      <w:pPr>
        <w:pStyle w:val="Default"/>
        <w:numPr>
          <w:ilvl w:val="0"/>
          <w:numId w:val="9"/>
        </w:numPr>
        <w:spacing w:after="120"/>
        <w:ind w:hanging="357"/>
        <w:jc w:val="both"/>
        <w:rPr>
          <w:sz w:val="22"/>
          <w:szCs w:val="22"/>
          <w:lang w:val="en-GB"/>
        </w:rPr>
      </w:pPr>
      <w:r w:rsidRPr="003E240E">
        <w:rPr>
          <w:sz w:val="22"/>
          <w:szCs w:val="22"/>
          <w:lang w:val="en-GB"/>
        </w:rPr>
        <w:t>The allocation of days to the Lead Expert shall not exceed 82% of the total budget (max. 140 days). Therefore, a minimum of 18% of the expertise budget (min. 30 days) shall be allocated to Ad-Hoc Experts supporting the network</w:t>
      </w:r>
      <w:r>
        <w:rPr>
          <w:sz w:val="22"/>
          <w:szCs w:val="22"/>
          <w:lang w:val="en-GB"/>
        </w:rPr>
        <w:t>.</w:t>
      </w:r>
    </w:p>
    <w:p w14:paraId="70C68261" w14:textId="7FE5872F" w:rsidR="003E240E" w:rsidRPr="003E240E" w:rsidRDefault="003E240E" w:rsidP="003E240E">
      <w:pPr>
        <w:pStyle w:val="Default"/>
        <w:numPr>
          <w:ilvl w:val="0"/>
          <w:numId w:val="9"/>
        </w:numPr>
        <w:spacing w:after="120"/>
        <w:ind w:hanging="357"/>
        <w:jc w:val="both"/>
        <w:rPr>
          <w:sz w:val="22"/>
          <w:szCs w:val="22"/>
          <w:lang w:val="en-GB"/>
        </w:rPr>
      </w:pPr>
      <w:r w:rsidRPr="003E240E">
        <w:rPr>
          <w:sz w:val="22"/>
          <w:szCs w:val="22"/>
          <w:lang w:val="en-GB"/>
        </w:rPr>
        <w:t>Travel and accommodation costs for Lead and Ad-Hoc Experts MUST be covered by the network budget.</w:t>
      </w:r>
    </w:p>
    <w:p w14:paraId="2E663154" w14:textId="77777777" w:rsidR="003E240E" w:rsidRPr="003E240E" w:rsidRDefault="003E240E" w:rsidP="003E240E">
      <w:pPr>
        <w:pStyle w:val="Default"/>
        <w:numPr>
          <w:ilvl w:val="0"/>
          <w:numId w:val="9"/>
        </w:numPr>
        <w:spacing w:after="120"/>
        <w:ind w:hanging="357"/>
        <w:jc w:val="both"/>
        <w:rPr>
          <w:sz w:val="22"/>
          <w:szCs w:val="22"/>
          <w:lang w:val="en-GB"/>
        </w:rPr>
      </w:pPr>
      <w:r w:rsidRPr="003E240E">
        <w:rPr>
          <w:sz w:val="22"/>
          <w:szCs w:val="22"/>
          <w:lang w:val="en-GB"/>
        </w:rPr>
        <w:t xml:space="preserve">Three potential URBACT Validated Lead Experts shall be proposed by the Lead Partner after the network approval. </w:t>
      </w:r>
    </w:p>
    <w:p w14:paraId="23800D70" w14:textId="515C5293" w:rsidR="003E240E" w:rsidRDefault="003E240E" w:rsidP="00540E7C">
      <w:pPr>
        <w:pStyle w:val="Default"/>
        <w:numPr>
          <w:ilvl w:val="0"/>
          <w:numId w:val="9"/>
        </w:numPr>
        <w:spacing w:after="120"/>
        <w:ind w:hanging="357"/>
        <w:jc w:val="both"/>
        <w:rPr>
          <w:sz w:val="22"/>
          <w:szCs w:val="22"/>
          <w:lang w:val="en-GB"/>
        </w:rPr>
      </w:pPr>
      <w:r w:rsidRPr="003E240E">
        <w:rPr>
          <w:sz w:val="22"/>
          <w:szCs w:val="22"/>
          <w:lang w:val="en-GB"/>
        </w:rPr>
        <w:t>All approved networks will be requested (with e-mail notification letter) to propose 3 Lead Expert candidates based on the principles and the selection criteria for the use of expertise defined in the application form. Experts coming from (at least) two different countries of residence or nationalities shall be proposed among the 3 proposed Lead Experts. The proposal shall as well include at least one female expert.</w:t>
      </w:r>
    </w:p>
    <w:p w14:paraId="5DD8A399" w14:textId="7BA298AD" w:rsidR="003E240E" w:rsidRPr="00AE5E20" w:rsidRDefault="003E240E" w:rsidP="00540E7C">
      <w:pPr>
        <w:pStyle w:val="Default"/>
        <w:numPr>
          <w:ilvl w:val="0"/>
          <w:numId w:val="9"/>
        </w:numPr>
        <w:spacing w:after="120"/>
        <w:ind w:hanging="357"/>
        <w:jc w:val="both"/>
        <w:rPr>
          <w:sz w:val="22"/>
          <w:szCs w:val="22"/>
          <w:lang w:val="en-GB"/>
        </w:rPr>
      </w:pPr>
      <w:r w:rsidRPr="00AE5E20">
        <w:rPr>
          <w:sz w:val="22"/>
          <w:szCs w:val="22"/>
          <w:lang w:val="en-GB"/>
        </w:rPr>
        <w:t>It should be noted that only experts who have not been directly involved in developing the network application can be proposed. A strict conflict of interest procedure will be followed.</w:t>
      </w:r>
    </w:p>
    <w:p w14:paraId="1796F0BC" w14:textId="0DE17814" w:rsidR="00F02CCA" w:rsidRPr="00F02CCA" w:rsidRDefault="00F02CCA" w:rsidP="00F02CCA">
      <w:pPr>
        <w:pStyle w:val="Default"/>
        <w:jc w:val="both"/>
        <w:rPr>
          <w:b/>
          <w:bCs/>
          <w:sz w:val="22"/>
          <w:szCs w:val="22"/>
          <w:u w:val="single"/>
          <w:lang w:val="en-GB"/>
        </w:rPr>
      </w:pPr>
      <w:r w:rsidRPr="00F02CCA">
        <w:rPr>
          <w:b/>
          <w:bCs/>
          <w:u w:val="single"/>
          <w:lang w:val="en-GB"/>
        </w:rPr>
        <w:t>COMPULSORY MEETINGS</w:t>
      </w:r>
      <w:r>
        <w:rPr>
          <w:b/>
          <w:bCs/>
          <w:u w:val="single"/>
          <w:lang w:val="en-GB"/>
        </w:rPr>
        <w:t xml:space="preserve"> (FOR APPROVED PROJECTS)</w:t>
      </w:r>
    </w:p>
    <w:p w14:paraId="27C82534" w14:textId="16E2B8C6" w:rsidR="00F02CCA" w:rsidRDefault="00F02CCA" w:rsidP="00F02CCA">
      <w:pPr>
        <w:tabs>
          <w:tab w:val="left" w:pos="1020"/>
        </w:tabs>
        <w:rPr>
          <w:lang w:val="en-GB"/>
        </w:rPr>
      </w:pPr>
    </w:p>
    <w:p w14:paraId="12D7360F" w14:textId="1DBB68AE" w:rsidR="00F02CCA" w:rsidRPr="00F02CCA" w:rsidRDefault="00F02CCA" w:rsidP="00F02CCA">
      <w:pPr>
        <w:pStyle w:val="Default"/>
        <w:numPr>
          <w:ilvl w:val="0"/>
          <w:numId w:val="9"/>
        </w:numPr>
        <w:spacing w:after="120"/>
        <w:ind w:hanging="357"/>
        <w:jc w:val="both"/>
        <w:rPr>
          <w:sz w:val="22"/>
          <w:szCs w:val="22"/>
          <w:lang w:val="en-GB"/>
        </w:rPr>
      </w:pPr>
      <w:r w:rsidRPr="00F02CCA">
        <w:rPr>
          <w:sz w:val="22"/>
          <w:szCs w:val="22"/>
          <w:lang w:val="en-GB"/>
        </w:rPr>
        <w:t xml:space="preserve">20 June </w:t>
      </w:r>
      <w:r>
        <w:rPr>
          <w:sz w:val="22"/>
          <w:szCs w:val="22"/>
          <w:lang w:val="en-GB"/>
        </w:rPr>
        <w:t xml:space="preserve">2023 </w:t>
      </w:r>
      <w:r w:rsidRPr="00F02CCA">
        <w:rPr>
          <w:sz w:val="22"/>
          <w:szCs w:val="22"/>
          <w:lang w:val="en-GB"/>
        </w:rPr>
        <w:t>with LPs and LEs and 22 June wi</w:t>
      </w:r>
      <w:r>
        <w:rPr>
          <w:sz w:val="22"/>
          <w:szCs w:val="22"/>
          <w:lang w:val="en-GB"/>
        </w:rPr>
        <w:t>th</w:t>
      </w:r>
      <w:r w:rsidRPr="00F02CCA">
        <w:rPr>
          <w:sz w:val="22"/>
          <w:szCs w:val="22"/>
          <w:lang w:val="en-GB"/>
        </w:rPr>
        <w:t xml:space="preserve"> all LEs, LPs and network partners.</w:t>
      </w:r>
    </w:p>
    <w:p w14:paraId="267DFCFE" w14:textId="34E06D5F" w:rsidR="00F02CCA" w:rsidRPr="00F02CCA" w:rsidRDefault="00F02CCA" w:rsidP="00221360">
      <w:pPr>
        <w:pStyle w:val="Default"/>
        <w:numPr>
          <w:ilvl w:val="0"/>
          <w:numId w:val="9"/>
        </w:numPr>
        <w:spacing w:after="120"/>
        <w:ind w:hanging="357"/>
        <w:jc w:val="both"/>
        <w:rPr>
          <w:sz w:val="22"/>
          <w:szCs w:val="22"/>
          <w:lang w:val="en-GB"/>
        </w:rPr>
      </w:pPr>
      <w:r w:rsidRPr="00F02CCA">
        <w:rPr>
          <w:sz w:val="22"/>
          <w:szCs w:val="22"/>
          <w:lang w:val="en-GB"/>
        </w:rPr>
        <w:t>URBACT Summer University 2023: 28-31 August 2023</w:t>
      </w:r>
    </w:p>
    <w:sectPr w:rsidR="00F02CCA" w:rsidRPr="00F02CCA" w:rsidSect="006954DB">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19CB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57F8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CC57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D3DA0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A02C6"/>
    <w:multiLevelType w:val="hybridMultilevel"/>
    <w:tmpl w:val="4772650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35172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01346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EB21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DA1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48532C0"/>
    <w:multiLevelType w:val="hybridMultilevel"/>
    <w:tmpl w:val="40382CB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7C111AC"/>
    <w:multiLevelType w:val="hybridMultilevel"/>
    <w:tmpl w:val="71CAADEA"/>
    <w:lvl w:ilvl="0" w:tplc="B1D4C73A">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C4C3818"/>
    <w:multiLevelType w:val="hybridMultilevel"/>
    <w:tmpl w:val="738AEDB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8703154">
    <w:abstractNumId w:val="10"/>
  </w:num>
  <w:num w:numId="2" w16cid:durableId="2057848466">
    <w:abstractNumId w:val="9"/>
  </w:num>
  <w:num w:numId="3" w16cid:durableId="961039888">
    <w:abstractNumId w:val="6"/>
  </w:num>
  <w:num w:numId="4" w16cid:durableId="85614">
    <w:abstractNumId w:val="8"/>
  </w:num>
  <w:num w:numId="5" w16cid:durableId="1880048666">
    <w:abstractNumId w:val="3"/>
  </w:num>
  <w:num w:numId="6" w16cid:durableId="1261180779">
    <w:abstractNumId w:val="1"/>
  </w:num>
  <w:num w:numId="7" w16cid:durableId="1554268077">
    <w:abstractNumId w:val="2"/>
  </w:num>
  <w:num w:numId="8" w16cid:durableId="424151795">
    <w:abstractNumId w:val="5"/>
  </w:num>
  <w:num w:numId="9" w16cid:durableId="1751000122">
    <w:abstractNumId w:val="4"/>
  </w:num>
  <w:num w:numId="10" w16cid:durableId="690763612">
    <w:abstractNumId w:val="11"/>
  </w:num>
  <w:num w:numId="11" w16cid:durableId="48304523">
    <w:abstractNumId w:val="0"/>
  </w:num>
  <w:num w:numId="12" w16cid:durableId="182839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19"/>
    <w:rsid w:val="00047408"/>
    <w:rsid w:val="00077D21"/>
    <w:rsid w:val="001E0AA1"/>
    <w:rsid w:val="001F4A21"/>
    <w:rsid w:val="0020189C"/>
    <w:rsid w:val="003519FA"/>
    <w:rsid w:val="00356506"/>
    <w:rsid w:val="003E240E"/>
    <w:rsid w:val="003F4214"/>
    <w:rsid w:val="00481282"/>
    <w:rsid w:val="00543B19"/>
    <w:rsid w:val="005F30EA"/>
    <w:rsid w:val="0064376D"/>
    <w:rsid w:val="006954DB"/>
    <w:rsid w:val="006E4485"/>
    <w:rsid w:val="00760576"/>
    <w:rsid w:val="00775894"/>
    <w:rsid w:val="007E1D58"/>
    <w:rsid w:val="007E5D19"/>
    <w:rsid w:val="0086110A"/>
    <w:rsid w:val="008A7DCE"/>
    <w:rsid w:val="00A319D6"/>
    <w:rsid w:val="00AE5E20"/>
    <w:rsid w:val="00B10937"/>
    <w:rsid w:val="00B27802"/>
    <w:rsid w:val="00D010F2"/>
    <w:rsid w:val="00D31378"/>
    <w:rsid w:val="00D61D59"/>
    <w:rsid w:val="00DB58E4"/>
    <w:rsid w:val="00DC2510"/>
    <w:rsid w:val="00F02CCA"/>
    <w:rsid w:val="00F55C2D"/>
    <w:rsid w:val="00F86462"/>
    <w:rsid w:val="00FE1D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69C2"/>
  <w15:chartTrackingRefBased/>
  <w15:docId w15:val="{56C0232D-D997-4A90-8953-9D98302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43B19"/>
    <w:pPr>
      <w:ind w:left="720"/>
      <w:contextualSpacing/>
    </w:pPr>
  </w:style>
  <w:style w:type="character" w:styleId="Kiemels2">
    <w:name w:val="Strong"/>
    <w:basedOn w:val="Bekezdsalapbettpusa"/>
    <w:uiPriority w:val="22"/>
    <w:qFormat/>
    <w:rsid w:val="00B27802"/>
    <w:rPr>
      <w:b/>
      <w:bCs/>
    </w:rPr>
  </w:style>
  <w:style w:type="character" w:styleId="Hiperhivatkozs">
    <w:name w:val="Hyperlink"/>
    <w:basedOn w:val="Bekezdsalapbettpusa"/>
    <w:uiPriority w:val="99"/>
    <w:unhideWhenUsed/>
    <w:rsid w:val="00B27802"/>
    <w:rPr>
      <w:color w:val="0000FF"/>
      <w:u w:val="single"/>
    </w:rPr>
  </w:style>
  <w:style w:type="character" w:styleId="Feloldatlanmegemlts">
    <w:name w:val="Unresolved Mention"/>
    <w:basedOn w:val="Bekezdsalapbettpusa"/>
    <w:uiPriority w:val="99"/>
    <w:semiHidden/>
    <w:unhideWhenUsed/>
    <w:rsid w:val="00B27802"/>
    <w:rPr>
      <w:color w:val="605E5C"/>
      <w:shd w:val="clear" w:color="auto" w:fill="E1DFDD"/>
    </w:rPr>
  </w:style>
  <w:style w:type="character" w:styleId="Mrltotthiperhivatkozs">
    <w:name w:val="FollowedHyperlink"/>
    <w:basedOn w:val="Bekezdsalapbettpusa"/>
    <w:uiPriority w:val="99"/>
    <w:semiHidden/>
    <w:unhideWhenUsed/>
    <w:rsid w:val="00B27802"/>
    <w:rPr>
      <w:color w:val="954F72" w:themeColor="followedHyperlink"/>
      <w:u w:val="single"/>
    </w:rPr>
  </w:style>
  <w:style w:type="paragraph" w:styleId="NormlWeb">
    <w:name w:val="Normal (Web)"/>
    <w:basedOn w:val="Norml"/>
    <w:uiPriority w:val="99"/>
    <w:semiHidden/>
    <w:unhideWhenUsed/>
    <w:rsid w:val="00B2780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F55C2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PDF/?uri=CELEX:32021D1130&amp;from=EN" TargetMode="External"/><Relationship Id="rId5" Type="http://schemas.openxmlformats.org/officeDocument/2006/relationships/hyperlink" Target="https://ec.europa.eu/regional_policy/sources/graph/poster2021/eu27.png"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1336</Words>
  <Characters>9220</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Szigeti-Böröcz Ferenc</cp:lastModifiedBy>
  <cp:revision>8</cp:revision>
  <dcterms:created xsi:type="dcterms:W3CDTF">2023-01-10T10:45:00Z</dcterms:created>
  <dcterms:modified xsi:type="dcterms:W3CDTF">2023-01-12T09:46:00Z</dcterms:modified>
</cp:coreProperties>
</file>