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CF8" w14:textId="77777777" w:rsidR="001F5116" w:rsidRDefault="00FE1DDF">
      <w:pPr>
        <w:pStyle w:val="Nadpis1"/>
        <w:jc w:val="both"/>
      </w:pPr>
      <w:r>
        <w:t>možnosti řešení nákupu energií  </w:t>
      </w:r>
    </w:p>
    <w:p w14:paraId="0968B210" w14:textId="77777777" w:rsidR="001F5116" w:rsidRDefault="00FE1DDF">
      <w:pPr>
        <w:pStyle w:val="Nadpis2"/>
        <w:rPr>
          <w:rStyle w:val="Zdraznnintenzivn"/>
          <w:b/>
        </w:rPr>
      </w:pPr>
      <w:r>
        <w:rPr>
          <w:rStyle w:val="Zdraznnintenzivn"/>
          <w:b/>
        </w:rPr>
        <w:t>východiska </w:t>
      </w:r>
    </w:p>
    <w:p w14:paraId="1083CEFB" w14:textId="77777777" w:rsidR="001F5116" w:rsidRDefault="00FE1DDF">
      <w:pPr>
        <w:jc w:val="both"/>
      </w:pPr>
      <w:r>
        <w:t xml:space="preserve">Nákup energií </w:t>
      </w:r>
      <w:r>
        <w:rPr>
          <w:b/>
        </w:rPr>
        <w:t>je veřejnou zakázkou</w:t>
      </w:r>
      <w:r>
        <w:t xml:space="preserve"> na dodávky a zadavatel musí postupovat podle zákona.  V zákoně </w:t>
      </w:r>
      <w:r>
        <w:rPr>
          <w:b/>
        </w:rPr>
        <w:t>není</w:t>
      </w:r>
      <w:r>
        <w:t xml:space="preserve"> ukotvena </w:t>
      </w:r>
      <w:r>
        <w:rPr>
          <w:b/>
        </w:rPr>
        <w:t>přímá výjimka</w:t>
      </w:r>
      <w:r>
        <w:t xml:space="preserve"> z postupu v zadávacím řízení, zákon také </w:t>
      </w:r>
      <w:r>
        <w:rPr>
          <w:b/>
        </w:rPr>
        <w:t>neobsahuje</w:t>
      </w:r>
      <w:r>
        <w:t xml:space="preserve"> speciální postupy </w:t>
      </w:r>
      <w:r>
        <w:rPr>
          <w:b/>
        </w:rPr>
        <w:t>pouze</w:t>
      </w:r>
      <w:r>
        <w:t xml:space="preserve"> pro </w:t>
      </w:r>
      <w:r>
        <w:rPr>
          <w:b/>
        </w:rPr>
        <w:t>nákup energií</w:t>
      </w:r>
      <w:r>
        <w:t xml:space="preserve">. Zadavatel použije </w:t>
      </w:r>
      <w:r>
        <w:rPr>
          <w:b/>
        </w:rPr>
        <w:t>standardní</w:t>
      </w:r>
      <w:r>
        <w:t xml:space="preserve"> postup v zadávacích řízeních, může však využít i </w:t>
      </w:r>
      <w:r>
        <w:rPr>
          <w:b/>
        </w:rPr>
        <w:t>zjednodušené</w:t>
      </w:r>
      <w:r>
        <w:t xml:space="preserve"> postupy.  </w:t>
      </w:r>
    </w:p>
    <w:p w14:paraId="2BA82B62" w14:textId="77777777" w:rsidR="001F5116" w:rsidRDefault="00FE1DDF">
      <w:pPr>
        <w:pStyle w:val="Nadpis2"/>
        <w:rPr>
          <w:b/>
        </w:rPr>
      </w:pPr>
      <w:r>
        <w:rPr>
          <w:rStyle w:val="Zdraznnintenzivn"/>
          <w:b/>
        </w:rPr>
        <w:t>situace</w:t>
      </w:r>
    </w:p>
    <w:p w14:paraId="6D950AEB" w14:textId="77777777" w:rsidR="001F5116" w:rsidRDefault="00FE1DDF">
      <w:pPr>
        <w:jc w:val="both"/>
        <w:rPr>
          <w:rStyle w:val="Odkazintenzivn"/>
        </w:rPr>
      </w:pPr>
      <w:r>
        <w:rPr>
          <w:rStyle w:val="Odkazintenzivn"/>
        </w:rPr>
        <w:t>1. Zadavatel má uzavřenou smlouvu a smlouva bude končit během několika měsíců.</w:t>
      </w:r>
    </w:p>
    <w:p w14:paraId="09D0BBAE" w14:textId="66E3D818" w:rsidR="001F5116" w:rsidRDefault="00FE1DDF">
      <w:pPr>
        <w:jc w:val="both"/>
      </w:pPr>
      <w:r>
        <w:t xml:space="preserve">Zadavatel použije </w:t>
      </w:r>
      <w:r>
        <w:rPr>
          <w:b/>
        </w:rPr>
        <w:t>standardní</w:t>
      </w:r>
      <w:r>
        <w:t xml:space="preserve"> proces zadávávání. Pro nákup energií lze využít</w:t>
      </w:r>
      <w:r w:rsidR="00206B95">
        <w:t>:</w:t>
      </w:r>
    </w:p>
    <w:p w14:paraId="27BCC1AD" w14:textId="72B10E75" w:rsidR="001F5116" w:rsidRDefault="00FE1DDF">
      <w:pPr>
        <w:pStyle w:val="Odstavecseseznamem"/>
        <w:numPr>
          <w:ilvl w:val="0"/>
          <w:numId w:val="1"/>
        </w:numPr>
        <w:jc w:val="both"/>
      </w:pPr>
      <w:r>
        <w:t xml:space="preserve">nákup prostřednictvím </w:t>
      </w:r>
      <w:r>
        <w:rPr>
          <w:b/>
        </w:rPr>
        <w:t>komoditních burz</w:t>
      </w:r>
      <w:r>
        <w:t>, který zákon výslovně umožňuje, jde</w:t>
      </w:r>
      <w:r w:rsidR="00FF12C4">
        <w:t xml:space="preserve"> o</w:t>
      </w:r>
      <w:r>
        <w:t xml:space="preserve"> formalizovaný postup v jednacím řízení bez uveřejnění,</w:t>
      </w:r>
    </w:p>
    <w:p w14:paraId="0F5EDDEC" w14:textId="77777777" w:rsidR="001F5116" w:rsidRDefault="00FE1DDF">
      <w:pPr>
        <w:pStyle w:val="Odstavecseseznamem"/>
        <w:numPr>
          <w:ilvl w:val="0"/>
          <w:numId w:val="1"/>
        </w:numPr>
        <w:jc w:val="both"/>
      </w:pPr>
      <w:r>
        <w:t xml:space="preserve">otevřené řízení, kde se pro hodnocení využije </w:t>
      </w:r>
      <w:r>
        <w:rPr>
          <w:b/>
        </w:rPr>
        <w:t>elektronická aukce,</w:t>
      </w:r>
    </w:p>
    <w:p w14:paraId="45745291" w14:textId="77777777" w:rsidR="001F5116" w:rsidRDefault="00FE1DDF">
      <w:pPr>
        <w:pStyle w:val="Odstavecseseznamem"/>
        <w:numPr>
          <w:ilvl w:val="0"/>
          <w:numId w:val="1"/>
        </w:numPr>
        <w:jc w:val="both"/>
      </w:pPr>
      <w:r>
        <w:t>jakýkoli jiný standardní postup v zadávacím řízení podle zákona.</w:t>
      </w:r>
    </w:p>
    <w:p w14:paraId="1A90687C" w14:textId="77777777" w:rsidR="001F5116" w:rsidRDefault="00FE1DDF">
      <w:pPr>
        <w:jc w:val="both"/>
        <w:rPr>
          <w:rStyle w:val="Odkazintenzivn"/>
        </w:rPr>
      </w:pPr>
      <w:r>
        <w:rPr>
          <w:rStyle w:val="Odkazintenzivn"/>
        </w:rPr>
        <w:t>2. Zadavateli skončila smlouva nebo velmi brzy skončí.</w:t>
      </w:r>
    </w:p>
    <w:p w14:paraId="31050E6D" w14:textId="77777777" w:rsidR="001F5116" w:rsidRDefault="00FE1DDF">
      <w:pPr>
        <w:jc w:val="both"/>
      </w:pPr>
      <w:r>
        <w:t>Je třeba rozlišit dvě situace:</w:t>
      </w:r>
    </w:p>
    <w:p w14:paraId="2A0739F9" w14:textId="77777777" w:rsidR="001F5116" w:rsidRDefault="00FE1DDF">
      <w:pPr>
        <w:pStyle w:val="Odstavecseseznamem"/>
        <w:numPr>
          <w:ilvl w:val="0"/>
          <w:numId w:val="1"/>
        </w:numPr>
        <w:jc w:val="both"/>
      </w:pPr>
      <w:r>
        <w:t xml:space="preserve">Smlouvu </w:t>
      </w:r>
      <w:r>
        <w:rPr>
          <w:b/>
        </w:rPr>
        <w:t>ukončil</w:t>
      </w:r>
      <w:r>
        <w:t xml:space="preserve"> předčasně </w:t>
      </w:r>
      <w:r>
        <w:rPr>
          <w:b/>
        </w:rPr>
        <w:t>dodavatel</w:t>
      </w:r>
      <w:r>
        <w:t>, pak zadavatel může postupovat v </w:t>
      </w:r>
      <w:r>
        <w:rPr>
          <w:b/>
        </w:rPr>
        <w:t>jednacím řízení bez uveřejnění</w:t>
      </w:r>
      <w:r>
        <w:t xml:space="preserve"> a smlouvu uzavře na nezbytnou dobu </w:t>
      </w:r>
      <w:r>
        <w:rPr>
          <w:b/>
        </w:rPr>
        <w:t>do vysoutěžení standardním</w:t>
      </w:r>
      <w:r>
        <w:t xml:space="preserve"> způsobem. Standardní soutěž probíhá podle předchozího bodu.</w:t>
      </w:r>
    </w:p>
    <w:p w14:paraId="7247DF25" w14:textId="77777777" w:rsidR="001F5116" w:rsidRDefault="00FE1DDF">
      <w:pPr>
        <w:pStyle w:val="Odstavecseseznamem"/>
        <w:numPr>
          <w:ilvl w:val="0"/>
          <w:numId w:val="1"/>
        </w:numPr>
        <w:jc w:val="both"/>
      </w:pPr>
      <w:r>
        <w:t>Smlouva skončila uplynutím doby a zadavatel nebyl schopen zadat standardně smlouvu novou.</w:t>
      </w:r>
    </w:p>
    <w:p w14:paraId="4A48788A" w14:textId="2B4E7537" w:rsidR="001F5116" w:rsidRDefault="00FE1DDF">
      <w:pPr>
        <w:pStyle w:val="Odstavecseseznamem"/>
        <w:numPr>
          <w:ilvl w:val="1"/>
          <w:numId w:val="1"/>
        </w:numPr>
        <w:jc w:val="both"/>
      </w:pPr>
      <w:r>
        <w:t>Smlouva nebyla uzavřena z </w:t>
      </w:r>
      <w:r>
        <w:rPr>
          <w:b/>
        </w:rPr>
        <w:t>důvodu nepodání žádné nabídky</w:t>
      </w:r>
      <w:r>
        <w:t xml:space="preserve">, lze použít </w:t>
      </w:r>
      <w:r>
        <w:rPr>
          <w:b/>
        </w:rPr>
        <w:t>jednací řízení bez uveřejnění</w:t>
      </w:r>
      <w:r w:rsidR="002018E6">
        <w:rPr>
          <w:b/>
        </w:rPr>
        <w:t>.</w:t>
      </w:r>
    </w:p>
    <w:p w14:paraId="594527C3" w14:textId="77777777" w:rsidR="001F5116" w:rsidRDefault="00FE1DDF">
      <w:pPr>
        <w:pStyle w:val="Odstavecseseznamem"/>
        <w:numPr>
          <w:ilvl w:val="1"/>
          <w:numId w:val="1"/>
        </w:numPr>
        <w:jc w:val="both"/>
      </w:pPr>
      <w:r>
        <w:t xml:space="preserve">Smlouva nebyla uzavřena z důvodu </w:t>
      </w:r>
      <w:r>
        <w:rPr>
          <w:b/>
        </w:rPr>
        <w:t>pozdního zahájení zadávacího řízení</w:t>
      </w:r>
      <w:r>
        <w:t xml:space="preserve">. Zadavatel pak po </w:t>
      </w:r>
      <w:r>
        <w:rPr>
          <w:b/>
        </w:rPr>
        <w:t>nezbytně nutnou dobu</w:t>
      </w:r>
      <w:r>
        <w:t xml:space="preserve"> může zadat smlouvu v </w:t>
      </w:r>
      <w:r>
        <w:rPr>
          <w:b/>
        </w:rPr>
        <w:t>režimu veřejné zakázky malého rozsahu</w:t>
      </w:r>
      <w:r>
        <w:t xml:space="preserve"> nebo v případě vyššího objemu postupuje v </w:t>
      </w:r>
      <w:r>
        <w:rPr>
          <w:b/>
        </w:rPr>
        <w:t>jednacím řízení bez uveřejnění</w:t>
      </w:r>
      <w:r>
        <w:t xml:space="preserve"> a okamžitě musí začít s přípravou a zahájením standardního zadávacího řízení. Využití jednacího řízení bez uveřejnění je však na hranici zákonnosti. </w:t>
      </w:r>
    </w:p>
    <w:p w14:paraId="4D1357AE" w14:textId="77777777" w:rsidR="001F5116" w:rsidRDefault="00FE1DDF">
      <w:pPr>
        <w:jc w:val="both"/>
      </w:pPr>
      <w:r>
        <w:t>Pokud zadavatel použije jednací řízení bez uveřejnění, kdy bude zakázku zadávat přímo, měl by oslovit alespoň 3 potenciální dodavatele.</w:t>
      </w:r>
    </w:p>
    <w:p w14:paraId="7A178101" w14:textId="77777777" w:rsidR="001F5116" w:rsidRDefault="00FE1DDF">
      <w:pPr>
        <w:pStyle w:val="Nadpis2"/>
      </w:pPr>
      <w:r>
        <w:rPr>
          <w:rStyle w:val="Zdraznnintenzivn"/>
          <w:b/>
        </w:rPr>
        <w:t>stanovení předpokládané hodnoty</w:t>
      </w:r>
    </w:p>
    <w:p w14:paraId="72BCF88C" w14:textId="0F814EF9" w:rsidR="001F5116" w:rsidRDefault="00FE1DDF">
      <w:pPr>
        <w:jc w:val="both"/>
      </w:pPr>
      <w:r>
        <w:t>Předpokládaná hodnot</w:t>
      </w:r>
      <w:r w:rsidR="00453534">
        <w:t>a</w:t>
      </w:r>
      <w:r>
        <w:t xml:space="preserve"> se stanovuje podle §19, kdy se předpokládaná hodnota veřejné zakázky stanoví jako</w:t>
      </w:r>
      <w:r w:rsidR="00DC5DCF">
        <w:t>:</w:t>
      </w:r>
    </w:p>
    <w:p w14:paraId="5698165C" w14:textId="77777777" w:rsidR="001F5116" w:rsidRDefault="00FE1DDF">
      <w:pPr>
        <w:pStyle w:val="Zkladntext"/>
        <w:jc w:val="both"/>
      </w:pPr>
      <w:bookmarkStart w:id="0" w:name="p19-1-a"/>
      <w:bookmarkStart w:id="1" w:name="f5805169"/>
      <w:bookmarkEnd w:id="0"/>
      <w:bookmarkEnd w:id="1"/>
      <w:r>
        <w:rPr>
          <w:rStyle w:val="Promnn"/>
        </w:rPr>
        <w:t>a)</w:t>
      </w:r>
      <w:r>
        <w:t xml:space="preserve"> s</w:t>
      </w:r>
      <w:r>
        <w:rPr>
          <w:b/>
          <w:bCs/>
        </w:rPr>
        <w:t xml:space="preserve">kutečná cena uhrazená </w:t>
      </w:r>
      <w:r>
        <w:t xml:space="preserve">zadavatelem za dodávky nebo služby stejného druhu během předcházejících </w:t>
      </w:r>
      <w:r>
        <w:rPr>
          <w:b/>
          <w:bCs/>
        </w:rPr>
        <w:t xml:space="preserve">12 měsíců </w:t>
      </w:r>
      <w:r>
        <w:t xml:space="preserve">nebo předchozího účetního období, které je delší než 12 měsíců, upravená o změny v množství nebo cenách, které </w:t>
      </w:r>
      <w:r w:rsidRPr="00FD05BC">
        <w:rPr>
          <w:b/>
        </w:rPr>
        <w:t>lze očekávat</w:t>
      </w:r>
      <w:r>
        <w:t xml:space="preserve"> během následujících 12 měsíců, nebo</w:t>
      </w:r>
    </w:p>
    <w:p w14:paraId="239E98DF" w14:textId="77777777" w:rsidR="001F5116" w:rsidRDefault="00FE1DDF">
      <w:pPr>
        <w:pStyle w:val="Zkladntext"/>
        <w:jc w:val="both"/>
      </w:pPr>
      <w:bookmarkStart w:id="2" w:name="p19-1-b"/>
      <w:bookmarkStart w:id="3" w:name="f5805170"/>
      <w:bookmarkEnd w:id="2"/>
      <w:bookmarkEnd w:id="3"/>
      <w:r>
        <w:rPr>
          <w:rStyle w:val="Promnn"/>
        </w:rPr>
        <w:t>b)</w:t>
      </w:r>
      <w:r>
        <w:rPr>
          <w:b/>
          <w:bCs/>
        </w:rPr>
        <w:t xml:space="preserve"> součet předpokládaných hodno</w:t>
      </w:r>
      <w:r>
        <w:t>t jednotlivých dodávek a služeb, které mají být zadavatelem zadány během následujících 12 měsíců nebo v účetním období, které je delší než 12 měsíců, pokud nemá k dispozici údaje podle písmene a).</w:t>
      </w:r>
    </w:p>
    <w:p w14:paraId="165B6780" w14:textId="77777777" w:rsidR="001F5116" w:rsidRDefault="00FE1DDF">
      <w:pPr>
        <w:pStyle w:val="Zkladntext"/>
        <w:jc w:val="both"/>
      </w:pPr>
      <w:r>
        <w:t xml:space="preserve">Pokud má být smlouva uzavřena na dobu delší než 12 měsíců, upraví se předpokládaná hodnota veřejné zakázky v případě smlouvy na dobu určitou jako předpokládaná výše úplaty za celou dobu </w:t>
      </w:r>
      <w:r>
        <w:lastRenderedPageBreak/>
        <w:t>trvání smlouvy nebo v případě smlouvy na dobu neurčitou jako předpokládaná výše úplaty za 48 měsíců.</w:t>
      </w:r>
    </w:p>
    <w:p w14:paraId="4B9E4DBA" w14:textId="77777777" w:rsidR="00FD05BC" w:rsidRDefault="00FE1DDF">
      <w:pPr>
        <w:pStyle w:val="Zkladntext"/>
        <w:jc w:val="both"/>
      </w:pPr>
      <w:r>
        <w:t xml:space="preserve">Předpokládaná hodnota </w:t>
      </w:r>
      <w:r w:rsidR="00DE6D96">
        <w:t>se stanovuje</w:t>
      </w:r>
      <w:r>
        <w:t xml:space="preserve"> na </w:t>
      </w:r>
      <w:r w:rsidRPr="00FD05BC">
        <w:rPr>
          <w:b/>
        </w:rPr>
        <w:t>základě skutečně uhrazené ceny</w:t>
      </w:r>
      <w:r>
        <w:t xml:space="preserve"> za předchozích 12 měsíců a zadavatel by ji měl </w:t>
      </w:r>
      <w:r w:rsidRPr="00FD05BC">
        <w:rPr>
          <w:b/>
        </w:rPr>
        <w:t>upravit</w:t>
      </w:r>
      <w:r>
        <w:t xml:space="preserve"> zejména o aktuální </w:t>
      </w:r>
      <w:r w:rsidRPr="00FD05BC">
        <w:rPr>
          <w:b/>
        </w:rPr>
        <w:t>inflaci</w:t>
      </w:r>
      <w:r>
        <w:t xml:space="preserve">, případně o další hodnoty, které jsou mu </w:t>
      </w:r>
      <w:r w:rsidRPr="00FD05BC">
        <w:rPr>
          <w:b/>
        </w:rPr>
        <w:t>známé</w:t>
      </w:r>
      <w:r>
        <w:t xml:space="preserve"> (například zastropovaná cena plynu). S ohledem na skutečnost, že předpokládaná hodnota je pouze </w:t>
      </w:r>
      <w:r w:rsidRPr="00FD05BC">
        <w:rPr>
          <w:b/>
        </w:rPr>
        <w:t>kvalifikovaný odhad</w:t>
      </w:r>
      <w:r>
        <w:t xml:space="preserve">, který je zejména v době značných </w:t>
      </w:r>
      <w:r w:rsidRPr="00FD05BC">
        <w:rPr>
          <w:b/>
        </w:rPr>
        <w:t>výkyvů z povahy nepřesný</w:t>
      </w:r>
      <w:r>
        <w:t xml:space="preserve">, nelze od zadavatele samozřejmě požadovat, aby předpokládaná hodnota byla stanovena tak, že bude přesně odpovídat budoucímu závazku. </w:t>
      </w:r>
    </w:p>
    <w:p w14:paraId="1318A334" w14:textId="77777777" w:rsidR="001F5116" w:rsidRDefault="00FE1DDF">
      <w:pPr>
        <w:pStyle w:val="Zkladntext"/>
        <w:jc w:val="both"/>
      </w:pPr>
      <w:r>
        <w:t xml:space="preserve">Zadavatel však </w:t>
      </w:r>
      <w:r w:rsidRPr="00FD05BC">
        <w:rPr>
          <w:b/>
        </w:rPr>
        <w:t>nem</w:t>
      </w:r>
      <w:r w:rsidR="00FD05BC" w:rsidRPr="00FD05BC">
        <w:rPr>
          <w:b/>
        </w:rPr>
        <w:t>ů</w:t>
      </w:r>
      <w:r w:rsidRPr="00FD05BC">
        <w:rPr>
          <w:b/>
        </w:rPr>
        <w:t>že</w:t>
      </w:r>
      <w:r>
        <w:t xml:space="preserve"> uzavírat smlouvu s vyšší hodnot</w:t>
      </w:r>
      <w:r w:rsidR="00FD05BC">
        <w:t>o</w:t>
      </w:r>
      <w:r>
        <w:t xml:space="preserve">u než </w:t>
      </w:r>
      <w:r w:rsidRPr="00FD05BC">
        <w:rPr>
          <w:b/>
        </w:rPr>
        <w:t>2 mil. Kč</w:t>
      </w:r>
      <w:r>
        <w:t xml:space="preserve"> bez DPH, a</w:t>
      </w:r>
      <w:r w:rsidR="00FD05BC">
        <w:t xml:space="preserve">niž by provedl zadávací řízení. Jde o situaci, kdy předpokládaná hodnota byla stanovena pod limit veřejné zakázky malého rozsahu a výsledkem je ale smlouva, jejíž hodnota je vyšší než limit veřejné zakázky malého rozsahu. V takovém případě je nutné konat </w:t>
      </w:r>
      <w:r w:rsidR="00FD05BC" w:rsidRPr="00FD05BC">
        <w:rPr>
          <w:b/>
        </w:rPr>
        <w:t>zadávací řízení</w:t>
      </w:r>
      <w:r w:rsidR="00FD05BC">
        <w:t>.</w:t>
      </w:r>
    </w:p>
    <w:p w14:paraId="3339B212" w14:textId="60D72C92" w:rsidR="001F5116" w:rsidRDefault="00FD05BC">
      <w:pPr>
        <w:jc w:val="both"/>
      </w:pPr>
      <w:r>
        <w:t>Jak bylo uvedeno, předpokládaná hodnot</w:t>
      </w:r>
      <w:r w:rsidR="006B04E4">
        <w:t>a</w:t>
      </w:r>
      <w:r>
        <w:t xml:space="preserve"> se stanovuje podle </w:t>
      </w:r>
      <w:r w:rsidRPr="00FD05BC">
        <w:rPr>
          <w:b/>
        </w:rPr>
        <w:t>délky trvání (plnění) smlouvy</w:t>
      </w:r>
      <w:r>
        <w:t xml:space="preserve">, pokud se smlouva uzavírá </w:t>
      </w:r>
      <w:r w:rsidRPr="00FD05BC">
        <w:rPr>
          <w:b/>
        </w:rPr>
        <w:t>na jeden rok</w:t>
      </w:r>
      <w:r>
        <w:t xml:space="preserve">, předpokládaná hodnota se stanovuje podle předpokladu </w:t>
      </w:r>
      <w:r w:rsidRPr="00FD05BC">
        <w:rPr>
          <w:b/>
        </w:rPr>
        <w:t>na tento rok</w:t>
      </w:r>
      <w:r>
        <w:t>,</w:t>
      </w:r>
      <w:r w:rsidR="00FE1DDF">
        <w:t xml:space="preserve"> nemělo by to však vést k obcházení zákonných limitů</w:t>
      </w:r>
      <w:r>
        <w:t xml:space="preserve">. Jde o případy, kdy úmyslem zadavatele je uzavřít smlouvu na </w:t>
      </w:r>
      <w:r w:rsidRPr="00FD05BC">
        <w:rPr>
          <w:b/>
        </w:rPr>
        <w:t>dobu neurčitou</w:t>
      </w:r>
      <w:r>
        <w:t>, nicméně účelově uzavírá smlouvu roční, neboť roční smlouva nedosahuje limitu veřejných zakázek malého rozsahu</w:t>
      </w:r>
      <w:r w:rsidR="00FE1DDF">
        <w:t>.</w:t>
      </w:r>
    </w:p>
    <w:p w14:paraId="5C12267D" w14:textId="77777777" w:rsidR="001F5116" w:rsidRDefault="00FE1DDF">
      <w:pPr>
        <w:pStyle w:val="Nadpis2"/>
      </w:pPr>
      <w:r>
        <w:rPr>
          <w:rStyle w:val="Zdraznnintenzivn"/>
          <w:b/>
        </w:rPr>
        <w:t>hodnotící kritéria, posouzení osoby dodavatele</w:t>
      </w:r>
    </w:p>
    <w:p w14:paraId="3F5B6D84" w14:textId="77777777" w:rsidR="001F5116" w:rsidRDefault="00FE1DDF">
      <w:pPr>
        <w:jc w:val="both"/>
      </w:pPr>
      <w:r>
        <w:t xml:space="preserve">Zadavatel může </w:t>
      </w:r>
      <w:r w:rsidR="00FD05BC">
        <w:t xml:space="preserve">pro nákup energií </w:t>
      </w:r>
      <w:r>
        <w:t xml:space="preserve">hodnotit </w:t>
      </w:r>
      <w:r w:rsidRPr="00FD05BC">
        <w:rPr>
          <w:b/>
        </w:rPr>
        <w:t>nejnižší nabídkovou cenu</w:t>
      </w:r>
      <w:r w:rsidR="00FD05BC">
        <w:t>.</w:t>
      </w:r>
      <w:r>
        <w:t xml:space="preserve"> </w:t>
      </w:r>
      <w:r w:rsidR="00FD05BC">
        <w:t>V</w:t>
      </w:r>
      <w:r>
        <w:t xml:space="preserve"> případě, že zadavatel obdrží shodné cenové nabídky, může zadavatel </w:t>
      </w:r>
      <w:r w:rsidRPr="00FD05BC">
        <w:rPr>
          <w:b/>
        </w:rPr>
        <w:t>provést losování</w:t>
      </w:r>
      <w:r>
        <w:t xml:space="preserve">, nejlépe za účasti dodavatelů a notáře. Zadavatel také může pro hodnocení použít </w:t>
      </w:r>
      <w:r w:rsidRPr="004D7A9B">
        <w:rPr>
          <w:b/>
        </w:rPr>
        <w:t>elektronickou aukci</w:t>
      </w:r>
      <w:r>
        <w:t xml:space="preserve">, kde </w:t>
      </w:r>
      <w:r w:rsidR="00FD05BC">
        <w:t>výsledkem shodné ceny být z povahy nemohou</w:t>
      </w:r>
      <w:r>
        <w:t>.</w:t>
      </w:r>
    </w:p>
    <w:p w14:paraId="31852E35" w14:textId="77777777" w:rsidR="001F5116" w:rsidRDefault="00FE1DDF">
      <w:pPr>
        <w:jc w:val="both"/>
      </w:pPr>
      <w:r>
        <w:t xml:space="preserve">Zadavatel také může </w:t>
      </w:r>
      <w:r w:rsidR="00347B89">
        <w:t>zkoumat</w:t>
      </w:r>
      <w:r>
        <w:t xml:space="preserve"> </w:t>
      </w:r>
      <w:r w:rsidR="00FD05BC">
        <w:t>serióznost</w:t>
      </w:r>
      <w:r>
        <w:t xml:space="preserve"> dodavatele</w:t>
      </w:r>
      <w:r w:rsidR="004D7A9B">
        <w:t xml:space="preserve">. Vodítkem mu může být </w:t>
      </w:r>
      <w:r w:rsidR="00347B89">
        <w:t xml:space="preserve">například </w:t>
      </w:r>
      <w:r w:rsidR="004D7A9B">
        <w:t xml:space="preserve">skutečnost, zda byl dodavatel </w:t>
      </w:r>
      <w:r w:rsidRPr="00347B89">
        <w:rPr>
          <w:b/>
        </w:rPr>
        <w:t>trestán Energetickým regulačním úřadem</w:t>
      </w:r>
      <w:r>
        <w:t xml:space="preserve"> podle zákona č. 458/2000 Sb., energetický zákon. Zadavatel by </w:t>
      </w:r>
      <w:r w:rsidR="00347B89">
        <w:t>tak</w:t>
      </w:r>
      <w:r w:rsidR="004D7A9B">
        <w:t xml:space="preserve"> </w:t>
      </w:r>
      <w:r>
        <w:t xml:space="preserve">mohl ve zjednodušeném podlimitním řízení jako další </w:t>
      </w:r>
      <w:r w:rsidRPr="00347B89">
        <w:rPr>
          <w:b/>
        </w:rPr>
        <w:t>požadavek kvalifikace</w:t>
      </w:r>
      <w:r>
        <w:t xml:space="preserve"> požadovat </w:t>
      </w:r>
      <w:r w:rsidR="004D7A9B">
        <w:t>prohlášení</w:t>
      </w:r>
      <w:r>
        <w:t xml:space="preserve"> o tom, že </w:t>
      </w:r>
      <w:r w:rsidR="00347B89">
        <w:t>dodavatel</w:t>
      </w:r>
      <w:r>
        <w:t xml:space="preserve"> potrestán nebyl. </w:t>
      </w:r>
    </w:p>
    <w:p w14:paraId="5D4A6525" w14:textId="77777777" w:rsidR="00347B89" w:rsidRDefault="00FE1DDF">
      <w:pPr>
        <w:jc w:val="both"/>
      </w:pPr>
      <w:r>
        <w:t xml:space="preserve">Pokud zadavatel v jakémkoli zadávacím řízení zjistí, že dodavatel </w:t>
      </w:r>
      <w:r w:rsidRPr="00AB657F">
        <w:rPr>
          <w:b/>
        </w:rPr>
        <w:t>byl potrestán</w:t>
      </w:r>
      <w:r>
        <w:t xml:space="preserve"> (</w:t>
      </w:r>
      <w:r w:rsidR="00347B89">
        <w:t>ačkoli o tom</w:t>
      </w:r>
      <w:r>
        <w:t xml:space="preserve"> zadavatel </w:t>
      </w:r>
      <w:r w:rsidR="00347B89">
        <w:t>ne</w:t>
      </w:r>
      <w:r>
        <w:t>požadoval doklad do nabídky</w:t>
      </w:r>
      <w:r w:rsidR="00347B89">
        <w:t xml:space="preserve"> a tuto informaci zjistil například </w:t>
      </w:r>
      <w:r w:rsidR="00347B89" w:rsidRPr="00435CAA">
        <w:rPr>
          <w:b/>
        </w:rPr>
        <w:t>ze stránek</w:t>
      </w:r>
      <w:r w:rsidR="00347B89">
        <w:t xml:space="preserve"> Energetického regulačního úřadu</w:t>
      </w:r>
      <w:r>
        <w:t xml:space="preserve">), může </w:t>
      </w:r>
      <w:r w:rsidR="00347B89">
        <w:t xml:space="preserve">zadavatel </w:t>
      </w:r>
      <w:r>
        <w:t xml:space="preserve">dodavatele </w:t>
      </w:r>
      <w:r w:rsidRPr="00435CAA">
        <w:rPr>
          <w:b/>
        </w:rPr>
        <w:t>vyloučit</w:t>
      </w:r>
      <w:r>
        <w:t xml:space="preserve"> </w:t>
      </w:r>
      <w:r w:rsidR="00347B89">
        <w:t>na základě skutečnosti</w:t>
      </w:r>
      <w:r>
        <w:t xml:space="preserve">, že se dodavatel dopustil v posledních 3 letech před zahájením zadávacího řízení nebo po zahájení zadávacího řízení závažného profesního pochybení, které </w:t>
      </w:r>
      <w:r w:rsidRPr="00435CAA">
        <w:rPr>
          <w:b/>
        </w:rPr>
        <w:t>zpochybňuje jeho důvěryhodnost</w:t>
      </w:r>
      <w:r>
        <w:t xml:space="preserve">. </w:t>
      </w:r>
    </w:p>
    <w:p w14:paraId="0A1717A2" w14:textId="77777777" w:rsidR="00435CAA" w:rsidRDefault="00347B89">
      <w:pPr>
        <w:jc w:val="both"/>
      </w:pPr>
      <w:r>
        <w:t>Obdobně může zadavatel vyloučit takového dodavatele, který se</w:t>
      </w:r>
      <w:r w:rsidRPr="00347B89">
        <w:t xml:space="preserve"> v posledních 3 letech od zahájení zadávacího řízení dopustil </w:t>
      </w:r>
      <w:r w:rsidRPr="00435CAA">
        <w:rPr>
          <w:b/>
        </w:rPr>
        <w:t>závažných nebo dlouhodobých</w:t>
      </w:r>
      <w:r w:rsidRPr="00347B89">
        <w:t xml:space="preserve"> pochybení při plnění dřívějšího smluvního vztahu se </w:t>
      </w:r>
      <w:r w:rsidRPr="00435CAA">
        <w:rPr>
          <w:b/>
        </w:rPr>
        <w:t>zadavatelem</w:t>
      </w:r>
      <w:r w:rsidRPr="00347B89">
        <w:t xml:space="preserve"> zadávané veřejné zakázky, nebo s </w:t>
      </w:r>
      <w:r w:rsidRPr="00435CAA">
        <w:rPr>
          <w:b/>
        </w:rPr>
        <w:t>jiným veřejným zadavatelem</w:t>
      </w:r>
      <w:r>
        <w:t xml:space="preserve">, to vedlo </w:t>
      </w:r>
      <w:r w:rsidRPr="00347B89">
        <w:t>k</w:t>
      </w:r>
      <w:r>
        <w:t>e</w:t>
      </w:r>
      <w:r w:rsidRPr="00347B89">
        <w:t xml:space="preserve"> vzniku škody, předčasnému ukončení smluvního vztahu nebo </w:t>
      </w:r>
      <w:r>
        <w:t xml:space="preserve">k </w:t>
      </w:r>
      <w:r w:rsidRPr="00347B89">
        <w:t>jiným srovnatelným sankcím</w:t>
      </w:r>
      <w:r>
        <w:t xml:space="preserve">. Zadavatel tedy </w:t>
      </w:r>
      <w:r w:rsidR="00435CAA">
        <w:t xml:space="preserve">může vyloučit dodavatele, pokud s ním </w:t>
      </w:r>
      <w:r>
        <w:t xml:space="preserve">má vlastní negativní zkušenost nebo může jít o hodnověrnou </w:t>
      </w:r>
      <w:r w:rsidR="00435CAA">
        <w:t xml:space="preserve">negativní </w:t>
      </w:r>
      <w:r>
        <w:t xml:space="preserve">zkušenost jiného veřejného zadavatele. Předpokladem je nejen </w:t>
      </w:r>
      <w:r w:rsidRPr="00435CAA">
        <w:rPr>
          <w:b/>
        </w:rPr>
        <w:t>existence porušení smluvního vztahu</w:t>
      </w:r>
      <w:r>
        <w:t xml:space="preserve">, pro oprávnění zadavatele k vyloučení se vyžaduje, aby dotyčný poškozený zadavatel na pochybení dodavatele jakýmkoli způsobem </w:t>
      </w:r>
      <w:r w:rsidRPr="00435CAA">
        <w:rPr>
          <w:b/>
        </w:rPr>
        <w:t>reagoval</w:t>
      </w:r>
      <w:r>
        <w:t>, od vyměření pokuty až například po soudní spor o neplnění smlouvy.</w:t>
      </w:r>
      <w:r w:rsidR="00AB657F">
        <w:t xml:space="preserve"> </w:t>
      </w:r>
    </w:p>
    <w:p w14:paraId="32F25780" w14:textId="77777777" w:rsidR="001F5116" w:rsidRDefault="00AB657F">
      <w:pPr>
        <w:jc w:val="both"/>
      </w:pPr>
      <w:r>
        <w:t xml:space="preserve">Obdobně </w:t>
      </w:r>
      <w:r w:rsidR="00435CAA">
        <w:t xml:space="preserve">– jak už bylo naznačeno, </w:t>
      </w:r>
      <w:r w:rsidR="00E96C06">
        <w:t>lze</w:t>
      </w:r>
      <w:r>
        <w:t xml:space="preserve"> vyloučit i dodavatele</w:t>
      </w:r>
      <w:r w:rsidR="00E96C06">
        <w:t xml:space="preserve"> v případě, kdy</w:t>
      </w:r>
      <w:r>
        <w:t xml:space="preserve"> zadavatel hodnověrně zjistí, že se dodavatel v posledních 3 letech dopustil </w:t>
      </w:r>
      <w:r w:rsidRPr="00435CAA">
        <w:rPr>
          <w:b/>
        </w:rPr>
        <w:t>závažného profesního</w:t>
      </w:r>
      <w:r>
        <w:t xml:space="preserve"> pochybení, jakým může být například </w:t>
      </w:r>
      <w:r w:rsidRPr="00435CAA">
        <w:rPr>
          <w:b/>
        </w:rPr>
        <w:t>nezákonné přerušení dodávek energií</w:t>
      </w:r>
      <w:r>
        <w:t xml:space="preserve"> nebo jiné </w:t>
      </w:r>
      <w:r w:rsidRPr="00435CAA">
        <w:rPr>
          <w:b/>
        </w:rPr>
        <w:t>závažné neplnění</w:t>
      </w:r>
      <w:r>
        <w:t xml:space="preserve"> povinností. </w:t>
      </w:r>
      <w:r w:rsidR="00E96C06">
        <w:t xml:space="preserve">Zákon </w:t>
      </w:r>
      <w:r w:rsidR="00E96C06">
        <w:lastRenderedPageBreak/>
        <w:t xml:space="preserve">nevyžaduje, aby šlo o profesní selhání vůči veřejnému zadavateli, postačí </w:t>
      </w:r>
      <w:r w:rsidR="00E96C06" w:rsidRPr="00435CAA">
        <w:rPr>
          <w:b/>
        </w:rPr>
        <w:t>jakékoli</w:t>
      </w:r>
      <w:r w:rsidR="00E96C06">
        <w:t xml:space="preserve"> závažné profesní pochybení.</w:t>
      </w:r>
    </w:p>
    <w:p w14:paraId="1613A571" w14:textId="77777777" w:rsidR="001F5116" w:rsidRDefault="00E96C06">
      <w:pPr>
        <w:jc w:val="both"/>
      </w:pPr>
      <w:r>
        <w:t>Pokud jde o další požadavky na kvalifikaci, z</w:t>
      </w:r>
      <w:r w:rsidR="00FE1DDF">
        <w:t xml:space="preserve">adavatel dále může požadovat </w:t>
      </w:r>
      <w:r w:rsidR="00FE1DDF" w:rsidRPr="00435CAA">
        <w:rPr>
          <w:b/>
        </w:rPr>
        <w:t>výši obratu dodavatele</w:t>
      </w:r>
      <w:r w:rsidR="00FE1DDF">
        <w:t xml:space="preserve">. Podmínka minimální výše ročního obratu </w:t>
      </w:r>
      <w:r w:rsidR="00FE1DDF" w:rsidRPr="00435CAA">
        <w:rPr>
          <w:b/>
        </w:rPr>
        <w:t>nesmí přesahovat dvojnásobek</w:t>
      </w:r>
      <w:r w:rsidR="00FE1DDF">
        <w:t xml:space="preserve"> předpokládané hodnoty veřejné zakázky. Zadavatel může v rámci technické kvalifikace také požadov</w:t>
      </w:r>
      <w:r>
        <w:t xml:space="preserve">at </w:t>
      </w:r>
      <w:r w:rsidRPr="00435CAA">
        <w:rPr>
          <w:b/>
        </w:rPr>
        <w:t>reference</w:t>
      </w:r>
      <w:r>
        <w:t xml:space="preserve"> za poslední 3 roky.</w:t>
      </w:r>
    </w:p>
    <w:p w14:paraId="0ABE8EA9" w14:textId="77777777" w:rsidR="001F5116" w:rsidRDefault="001F5116">
      <w:pPr>
        <w:jc w:val="both"/>
      </w:pPr>
    </w:p>
    <w:p w14:paraId="4B739C1F" w14:textId="77777777" w:rsidR="001F5116" w:rsidRDefault="001F5116">
      <w:pPr>
        <w:jc w:val="both"/>
      </w:pPr>
    </w:p>
    <w:sectPr w:rsidR="001F51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BC4"/>
    <w:multiLevelType w:val="multilevel"/>
    <w:tmpl w:val="1B2239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1B7020"/>
    <w:multiLevelType w:val="multilevel"/>
    <w:tmpl w:val="8D382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7579885">
    <w:abstractNumId w:val="0"/>
  </w:num>
  <w:num w:numId="2" w16cid:durableId="18148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116"/>
    <w:rsid w:val="001F5116"/>
    <w:rsid w:val="002018E6"/>
    <w:rsid w:val="00206B95"/>
    <w:rsid w:val="00345A0C"/>
    <w:rsid w:val="00347B89"/>
    <w:rsid w:val="00435CAA"/>
    <w:rsid w:val="00453534"/>
    <w:rsid w:val="004D7A9B"/>
    <w:rsid w:val="006B04E4"/>
    <w:rsid w:val="00AB657F"/>
    <w:rsid w:val="00DC5DCF"/>
    <w:rsid w:val="00DE6D96"/>
    <w:rsid w:val="00E96C06"/>
    <w:rsid w:val="00FD05BC"/>
    <w:rsid w:val="00FE1DDF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3810"/>
  <w15:docId w15:val="{8353773F-470A-4BE0-8D89-6CCF6945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D0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3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D0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9D02EA"/>
    <w:rPr>
      <w:i/>
      <w:iCs/>
      <w:color w:val="5B9BD5" w:themeColor="accent1"/>
    </w:rPr>
  </w:style>
  <w:style w:type="character" w:styleId="Odkazintenzivn">
    <w:name w:val="Intense Reference"/>
    <w:basedOn w:val="Standardnpsmoodstavce"/>
    <w:uiPriority w:val="32"/>
    <w:qFormat/>
    <w:rsid w:val="00B659EA"/>
    <w:rPr>
      <w:b/>
      <w:bCs/>
      <w:smallCaps/>
      <w:color w:val="5B9BD5" w:themeColor="accent1"/>
      <w:spacing w:val="5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A3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Promnn">
    <w:name w:val="Proměnný"/>
    <w:qFormat/>
    <w:rPr>
      <w:i/>
      <w:iCs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Fidler Vlastimil</dc:creator>
  <cp:lastModifiedBy>Mottlová Ivona</cp:lastModifiedBy>
  <cp:revision>8</cp:revision>
  <dcterms:created xsi:type="dcterms:W3CDTF">2022-10-21T09:41:00Z</dcterms:created>
  <dcterms:modified xsi:type="dcterms:W3CDTF">2022-10-21T09:47:00Z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