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A691" w14:textId="659157A5" w:rsidR="005D5509" w:rsidRPr="00C911D0" w:rsidRDefault="005D5509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C911D0">
        <w:rPr>
          <w:rFonts w:ascii="Arial" w:hAnsi="Arial" w:cs="Arial"/>
          <w:b/>
          <w:sz w:val="22"/>
          <w:szCs w:val="22"/>
        </w:rPr>
        <w:t xml:space="preserve">Mgr. </w:t>
      </w:r>
      <w:r w:rsidR="00F149D8">
        <w:rPr>
          <w:rFonts w:ascii="Arial" w:hAnsi="Arial" w:cs="Arial"/>
          <w:b/>
          <w:sz w:val="22"/>
          <w:szCs w:val="22"/>
        </w:rPr>
        <w:t>František Lukl, MPA</w:t>
      </w:r>
    </w:p>
    <w:p w14:paraId="71A6C73D" w14:textId="4F9851D5" w:rsidR="005D5509" w:rsidRDefault="00F149D8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předseda</w:t>
      </w:r>
      <w:r w:rsidR="00326BE6">
        <w:rPr>
          <w:rFonts w:ascii="Arial" w:hAnsi="Arial" w:cs="Arial"/>
          <w:b/>
          <w:sz w:val="22"/>
          <w:szCs w:val="22"/>
        </w:rPr>
        <w:t xml:space="preserve"> SMO ČR</w:t>
      </w:r>
    </w:p>
    <w:p w14:paraId="263662B4" w14:textId="77777777" w:rsidR="009312B7" w:rsidRPr="00C911D0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</w:p>
    <w:p w14:paraId="0F754A77" w14:textId="7EAEF3F6" w:rsidR="009312B7" w:rsidRPr="00C911D0" w:rsidRDefault="009312B7" w:rsidP="009312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911D0">
        <w:rPr>
          <w:rFonts w:ascii="Arial" w:hAnsi="Arial" w:cs="Arial"/>
          <w:sz w:val="20"/>
          <w:szCs w:val="20"/>
        </w:rPr>
        <w:t xml:space="preserve">Praha, </w:t>
      </w:r>
      <w:r w:rsidR="00EF0002" w:rsidRPr="008671F6">
        <w:rPr>
          <w:rFonts w:ascii="Arial" w:hAnsi="Arial" w:cs="Arial"/>
          <w:sz w:val="20"/>
          <w:szCs w:val="20"/>
        </w:rPr>
        <w:t>1</w:t>
      </w:r>
      <w:r w:rsidR="00D10E73" w:rsidRPr="008671F6">
        <w:rPr>
          <w:rFonts w:ascii="Arial" w:hAnsi="Arial" w:cs="Arial"/>
          <w:sz w:val="20"/>
          <w:szCs w:val="20"/>
        </w:rPr>
        <w:t>9</w:t>
      </w:r>
      <w:r w:rsidR="00DD544A" w:rsidRPr="008671F6">
        <w:rPr>
          <w:rFonts w:ascii="Arial" w:hAnsi="Arial" w:cs="Arial"/>
          <w:sz w:val="20"/>
          <w:szCs w:val="20"/>
        </w:rPr>
        <w:t xml:space="preserve">. </w:t>
      </w:r>
      <w:r w:rsidR="00EF0002" w:rsidRPr="008671F6">
        <w:rPr>
          <w:rFonts w:ascii="Arial" w:hAnsi="Arial" w:cs="Arial"/>
          <w:sz w:val="20"/>
          <w:szCs w:val="20"/>
        </w:rPr>
        <w:t>10</w:t>
      </w:r>
      <w:r w:rsidR="00DD544A" w:rsidRPr="008671F6">
        <w:rPr>
          <w:rFonts w:ascii="Arial" w:hAnsi="Arial" w:cs="Arial"/>
          <w:sz w:val="20"/>
          <w:szCs w:val="20"/>
        </w:rPr>
        <w:t>.</w:t>
      </w:r>
      <w:r w:rsidR="00275A6E" w:rsidRPr="008671F6">
        <w:rPr>
          <w:rFonts w:ascii="Arial" w:hAnsi="Arial" w:cs="Arial"/>
          <w:sz w:val="20"/>
          <w:szCs w:val="20"/>
        </w:rPr>
        <w:t xml:space="preserve"> 202</w:t>
      </w:r>
      <w:r w:rsidR="00405298" w:rsidRPr="008671F6">
        <w:rPr>
          <w:rFonts w:ascii="Arial" w:hAnsi="Arial" w:cs="Arial"/>
          <w:sz w:val="20"/>
          <w:szCs w:val="20"/>
        </w:rPr>
        <w:t>2</w:t>
      </w:r>
    </w:p>
    <w:p w14:paraId="21B67E1D" w14:textId="5CD8C1DA" w:rsidR="00BB7C06" w:rsidRPr="00C911D0" w:rsidRDefault="009312B7" w:rsidP="00BB7C06">
      <w:pPr>
        <w:ind w:firstLine="708"/>
        <w:jc w:val="right"/>
        <w:rPr>
          <w:rFonts w:ascii="Arial" w:hAnsi="Arial" w:cs="Arial"/>
          <w:i/>
          <w:sz w:val="20"/>
          <w:szCs w:val="20"/>
        </w:rPr>
      </w:pPr>
      <w:r w:rsidRPr="00C911D0">
        <w:rPr>
          <w:rFonts w:ascii="Arial" w:hAnsi="Arial" w:cs="Arial"/>
          <w:i/>
          <w:sz w:val="20"/>
          <w:szCs w:val="20"/>
        </w:rPr>
        <w:t xml:space="preserve">Č.j. </w:t>
      </w:r>
      <w:r w:rsidR="00EF0002">
        <w:rPr>
          <w:rFonts w:ascii="Arial" w:hAnsi="Arial" w:cs="Arial"/>
          <w:i/>
          <w:sz w:val="20"/>
          <w:szCs w:val="20"/>
        </w:rPr>
        <w:t>513</w:t>
      </w:r>
      <w:r w:rsidR="00275A6E" w:rsidRPr="00C911D0">
        <w:rPr>
          <w:rFonts w:ascii="Arial" w:hAnsi="Arial" w:cs="Arial"/>
          <w:i/>
          <w:sz w:val="20"/>
          <w:szCs w:val="20"/>
        </w:rPr>
        <w:t>/202</w:t>
      </w:r>
      <w:r w:rsidR="00405298">
        <w:rPr>
          <w:rFonts w:ascii="Arial" w:hAnsi="Arial" w:cs="Arial"/>
          <w:i/>
          <w:sz w:val="20"/>
          <w:szCs w:val="20"/>
        </w:rPr>
        <w:t>2</w:t>
      </w:r>
    </w:p>
    <w:p w14:paraId="7110F1ED" w14:textId="55CDB272" w:rsidR="00C911D0" w:rsidRDefault="00C911D0" w:rsidP="00C911D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F2BCC74" w14:textId="77777777" w:rsidR="001B0599" w:rsidRPr="00D10E73" w:rsidRDefault="001B0599" w:rsidP="00C911D0">
      <w:pPr>
        <w:jc w:val="center"/>
        <w:rPr>
          <w:rFonts w:ascii="Arial" w:hAnsi="Arial" w:cs="Arial"/>
          <w:b/>
          <w:bCs/>
        </w:rPr>
      </w:pPr>
    </w:p>
    <w:p w14:paraId="7904DC05" w14:textId="18D221BA" w:rsidR="00CF17CC" w:rsidRPr="00D10E73" w:rsidRDefault="001B0599" w:rsidP="00A26D18">
      <w:p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>Vážen</w:t>
      </w:r>
      <w:r w:rsidR="00405298" w:rsidRPr="00D10E73">
        <w:rPr>
          <w:rFonts w:ascii="Arial" w:hAnsi="Arial" w:cs="Arial"/>
        </w:rPr>
        <w:t xml:space="preserve">ý pane </w:t>
      </w:r>
      <w:r w:rsidR="00EF35CB" w:rsidRPr="00D10E73">
        <w:rPr>
          <w:rFonts w:ascii="Arial" w:hAnsi="Arial" w:cs="Arial"/>
        </w:rPr>
        <w:t>ministře</w:t>
      </w:r>
      <w:r w:rsidR="00405298" w:rsidRPr="00D10E73">
        <w:rPr>
          <w:rFonts w:ascii="Arial" w:hAnsi="Arial" w:cs="Arial"/>
        </w:rPr>
        <w:t>,</w:t>
      </w:r>
    </w:p>
    <w:p w14:paraId="50648BB3" w14:textId="77777777" w:rsidR="00D10E73" w:rsidRPr="00D10E73" w:rsidRDefault="00D10E73" w:rsidP="00A26D18">
      <w:pPr>
        <w:spacing w:line="276" w:lineRule="auto"/>
        <w:jc w:val="both"/>
        <w:rPr>
          <w:rFonts w:ascii="Arial" w:hAnsi="Arial" w:cs="Arial"/>
        </w:rPr>
      </w:pPr>
    </w:p>
    <w:p w14:paraId="680E3ED4" w14:textId="77777777" w:rsidR="00174781" w:rsidRPr="00D10E73" w:rsidRDefault="00405298" w:rsidP="00A26D18">
      <w:p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dovolte </w:t>
      </w:r>
      <w:r w:rsidR="00F149D8" w:rsidRPr="00D10E73">
        <w:rPr>
          <w:rFonts w:ascii="Arial" w:hAnsi="Arial" w:cs="Arial"/>
        </w:rPr>
        <w:t xml:space="preserve">mi prosím, abych Vás požádal o chvilku Vašeho času a pozornosti. Píši Vám ve věci </w:t>
      </w:r>
      <w:r w:rsidR="00174781" w:rsidRPr="00D10E73">
        <w:rPr>
          <w:rFonts w:ascii="Arial" w:hAnsi="Arial" w:cs="Arial"/>
        </w:rPr>
        <w:t xml:space="preserve">nařízení vlády č. 298/2022 Sb., o stanovení cen elektřiny a plynu v mimořádné tržní situaci. Bohužel Svaz měst a obcí ČR nebyl zařazen mezi povinná připomínková místa a vzhledem k termínu vložení návrhu do EKLEPu a lhůtě pro připomínky nebylo v našich možnostech připomínky uplatnit. </w:t>
      </w:r>
    </w:p>
    <w:p w14:paraId="36AF532D" w14:textId="0D99DCA6" w:rsidR="00B452F6" w:rsidRPr="00D10E73" w:rsidRDefault="00D25506" w:rsidP="00A26D18">
      <w:p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Nařízení vlády o stanovení cen elektřiny a plynu v mimořádné tržní situaci </w:t>
      </w:r>
      <w:r w:rsidR="009C3968" w:rsidRPr="00D10E73">
        <w:rPr>
          <w:rFonts w:ascii="Arial" w:hAnsi="Arial" w:cs="Arial"/>
        </w:rPr>
        <w:t xml:space="preserve">z pohledu obcí a měst obsahuje ustanovení, jejichž význam </w:t>
      </w:r>
      <w:r w:rsidR="00B452F6" w:rsidRPr="00D10E73">
        <w:rPr>
          <w:rFonts w:ascii="Arial" w:hAnsi="Arial" w:cs="Arial"/>
        </w:rPr>
        <w:t xml:space="preserve">vyvolává řadu otázek. Musím s politováním konstatovat, že situace v území ohledně zajištění energií na rok 2023 zůstává i nadále nepřehledná </w:t>
      </w:r>
      <w:r w:rsidR="00963FD2">
        <w:rPr>
          <w:rFonts w:ascii="Arial" w:hAnsi="Arial" w:cs="Arial"/>
        </w:rPr>
        <w:br/>
      </w:r>
      <w:r w:rsidR="00B452F6" w:rsidRPr="00D10E73">
        <w:rPr>
          <w:rFonts w:ascii="Arial" w:hAnsi="Arial" w:cs="Arial"/>
        </w:rPr>
        <w:t xml:space="preserve">a nepřinesla pro obce a města očekávanou jistotu. </w:t>
      </w:r>
    </w:p>
    <w:p w14:paraId="2DF0AEEB" w14:textId="62B2730A" w:rsidR="00DA3076" w:rsidRPr="00D10E73" w:rsidRDefault="00B452F6" w:rsidP="00DA3076">
      <w:p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>Váže</w:t>
      </w:r>
      <w:r w:rsidR="00310B50" w:rsidRPr="00D10E73">
        <w:rPr>
          <w:rFonts w:ascii="Arial" w:hAnsi="Arial" w:cs="Arial"/>
        </w:rPr>
        <w:t>ný pane ministře, dovolím si touto cestou požádat o vydání metodiky či stanoviska k výše uvedenému nařízení vlády</w:t>
      </w:r>
      <w:r w:rsidR="00B35241" w:rsidRPr="00D10E73">
        <w:rPr>
          <w:rFonts w:ascii="Arial" w:hAnsi="Arial" w:cs="Arial"/>
        </w:rPr>
        <w:t xml:space="preserve"> ze strany MPO, jako předkladatele tohoto nařízení</w:t>
      </w:r>
      <w:r w:rsidR="00024864" w:rsidRPr="00D10E73">
        <w:rPr>
          <w:rFonts w:ascii="Arial" w:hAnsi="Arial" w:cs="Arial"/>
        </w:rPr>
        <w:t>.</w:t>
      </w:r>
      <w:r w:rsidR="00DA3076" w:rsidRPr="00D10E73">
        <w:rPr>
          <w:rFonts w:ascii="Arial" w:hAnsi="Arial" w:cs="Arial"/>
        </w:rPr>
        <w:t xml:space="preserve"> K nařízení vlády byla předložena důvodová zpráva, která však neodráží podstatné změny, ke kterým následně došlo. Ani z důvodové zprávy tak není možné dospět k výkladu nejasných ustanovení </w:t>
      </w:r>
      <w:r w:rsidR="00963FD2">
        <w:rPr>
          <w:rFonts w:ascii="Arial" w:hAnsi="Arial" w:cs="Arial"/>
        </w:rPr>
        <w:br/>
      </w:r>
      <w:r w:rsidR="00DA3076" w:rsidRPr="00D10E73">
        <w:rPr>
          <w:rFonts w:ascii="Arial" w:hAnsi="Arial" w:cs="Arial"/>
        </w:rPr>
        <w:t xml:space="preserve">a otevřených otázek. </w:t>
      </w:r>
      <w:r w:rsidR="00346156" w:rsidRPr="00D10E73">
        <w:rPr>
          <w:rFonts w:ascii="Arial" w:hAnsi="Arial" w:cs="Arial"/>
        </w:rPr>
        <w:t xml:space="preserve">Níže uvádíme otázky, které </w:t>
      </w:r>
      <w:r w:rsidR="003A5DAE" w:rsidRPr="00D10E73">
        <w:rPr>
          <w:rFonts w:ascii="Arial" w:hAnsi="Arial" w:cs="Arial"/>
        </w:rPr>
        <w:t xml:space="preserve">jsme </w:t>
      </w:r>
      <w:r w:rsidR="00346156" w:rsidRPr="00D10E73">
        <w:rPr>
          <w:rFonts w:ascii="Arial" w:hAnsi="Arial" w:cs="Arial"/>
        </w:rPr>
        <w:t xml:space="preserve">v souvislosti s vydaným nařízením </w:t>
      </w:r>
      <w:r w:rsidR="003A5DAE" w:rsidRPr="00D10E73">
        <w:rPr>
          <w:rFonts w:ascii="Arial" w:hAnsi="Arial" w:cs="Arial"/>
        </w:rPr>
        <w:t>obdržel</w:t>
      </w:r>
      <w:r w:rsidR="00AC0033" w:rsidRPr="00D10E73">
        <w:rPr>
          <w:rFonts w:ascii="Arial" w:hAnsi="Arial" w:cs="Arial"/>
        </w:rPr>
        <w:t>i</w:t>
      </w:r>
      <w:r w:rsidR="003A5DAE" w:rsidRPr="00D10E73">
        <w:rPr>
          <w:rFonts w:ascii="Arial" w:hAnsi="Arial" w:cs="Arial"/>
        </w:rPr>
        <w:t xml:space="preserve"> od obcí a měst, a na něž jsm</w:t>
      </w:r>
      <w:r w:rsidR="00963FD2">
        <w:rPr>
          <w:rFonts w:ascii="Arial" w:hAnsi="Arial" w:cs="Arial"/>
        </w:rPr>
        <w:t>e</w:t>
      </w:r>
      <w:r w:rsidR="003A5DAE" w:rsidRPr="00D10E73">
        <w:rPr>
          <w:rFonts w:ascii="Arial" w:hAnsi="Arial" w:cs="Arial"/>
        </w:rPr>
        <w:t xml:space="preserve"> bohužel nenalezli v ustanoveních nařízení vlády odpověď. </w:t>
      </w:r>
    </w:p>
    <w:p w14:paraId="0E6D9B06" w14:textId="4EB26C47" w:rsidR="00864798" w:rsidRPr="00D10E73" w:rsidRDefault="00A66A65" w:rsidP="00DA307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Primárně se nabízí </w:t>
      </w:r>
      <w:r w:rsidR="004034A8" w:rsidRPr="00D10E73">
        <w:rPr>
          <w:rFonts w:ascii="Arial" w:hAnsi="Arial" w:cs="Arial"/>
        </w:rPr>
        <w:t xml:space="preserve">otázka </w:t>
      </w:r>
      <w:r w:rsidR="00571B42" w:rsidRPr="00D10E73">
        <w:rPr>
          <w:rFonts w:ascii="Arial" w:hAnsi="Arial" w:cs="Arial"/>
        </w:rPr>
        <w:t xml:space="preserve">vymezení subjektů, vůči nim směřuje </w:t>
      </w:r>
      <w:r w:rsidR="00B823F5" w:rsidRPr="00D10E73">
        <w:rPr>
          <w:rFonts w:ascii="Arial" w:hAnsi="Arial" w:cs="Arial"/>
        </w:rPr>
        <w:t>ustanovení § 4 odst. 1</w:t>
      </w:r>
      <w:r w:rsidR="006B4C0F" w:rsidRPr="00D10E73">
        <w:rPr>
          <w:rFonts w:ascii="Arial" w:hAnsi="Arial" w:cs="Arial"/>
        </w:rPr>
        <w:t xml:space="preserve">, písm. b) bod 1 ohledně elektrické energie a </w:t>
      </w:r>
      <w:r w:rsidR="004D4570" w:rsidRPr="00D10E73">
        <w:rPr>
          <w:rFonts w:ascii="Arial" w:hAnsi="Arial" w:cs="Arial"/>
        </w:rPr>
        <w:t xml:space="preserve">ustanovení § 4 odst. 3, písm. b) bod 1. </w:t>
      </w:r>
      <w:r w:rsidR="00AF5C1A" w:rsidRPr="00D10E73">
        <w:rPr>
          <w:rFonts w:ascii="Arial" w:hAnsi="Arial" w:cs="Arial"/>
        </w:rPr>
        <w:t xml:space="preserve">Nařízení vlády opominulo </w:t>
      </w:r>
      <w:r w:rsidR="00521A02" w:rsidRPr="00D10E73">
        <w:rPr>
          <w:rFonts w:ascii="Arial" w:hAnsi="Arial" w:cs="Arial"/>
        </w:rPr>
        <w:t xml:space="preserve">právnické osoby, jejichž zakladatelem jsou územně samosprávné celky, a které byly založeny za </w:t>
      </w:r>
      <w:r w:rsidR="00EC2C5B" w:rsidRPr="00D10E73">
        <w:rPr>
          <w:rFonts w:ascii="Arial" w:hAnsi="Arial" w:cs="Arial"/>
        </w:rPr>
        <w:t xml:space="preserve">účelem plnění úkolů, které jim svěřil zakladatel k uspokojování </w:t>
      </w:r>
      <w:r w:rsidR="00176ECC" w:rsidRPr="00D10E73">
        <w:rPr>
          <w:rFonts w:ascii="Arial" w:hAnsi="Arial" w:cs="Arial"/>
        </w:rPr>
        <w:t>veřejných potřeb. Tyto právnické osoby by měly být zařazeny pod ustanovení citovaná v první větě tohoto odstavce</w:t>
      </w:r>
      <w:r w:rsidR="005C76E1" w:rsidRPr="00D10E73">
        <w:rPr>
          <w:rFonts w:ascii="Arial" w:hAnsi="Arial" w:cs="Arial"/>
        </w:rPr>
        <w:t xml:space="preserve">, a to bez ohledu na skutečnost, zda splňují kritérium malého či středního podniku. </w:t>
      </w:r>
      <w:r w:rsidR="00571B42" w:rsidRPr="00D10E73">
        <w:rPr>
          <w:rFonts w:ascii="Arial" w:hAnsi="Arial" w:cs="Arial"/>
        </w:rPr>
        <w:t xml:space="preserve">Navrhujeme proto, aby o tyto </w:t>
      </w:r>
      <w:r w:rsidR="005C76E1" w:rsidRPr="00D10E73">
        <w:rPr>
          <w:rFonts w:ascii="Arial" w:hAnsi="Arial" w:cs="Arial"/>
        </w:rPr>
        <w:t xml:space="preserve">právnické osoby </w:t>
      </w:r>
      <w:r w:rsidR="00571B42" w:rsidRPr="00D10E73">
        <w:rPr>
          <w:rFonts w:ascii="Arial" w:hAnsi="Arial" w:cs="Arial"/>
        </w:rPr>
        <w:t xml:space="preserve">byla rozšířena kategorie zákazníků </w:t>
      </w:r>
      <w:r w:rsidR="00336EDA" w:rsidRPr="00D10E73">
        <w:rPr>
          <w:rFonts w:ascii="Arial" w:hAnsi="Arial" w:cs="Arial"/>
        </w:rPr>
        <w:t>nařízení vlády</w:t>
      </w:r>
      <w:r w:rsidR="00571B42" w:rsidRPr="00D10E73">
        <w:rPr>
          <w:rFonts w:ascii="Arial" w:hAnsi="Arial" w:cs="Arial"/>
        </w:rPr>
        <w:t xml:space="preserve"> o stanovení cen elektřiny a plynu v mimořádné tržní situaci</w:t>
      </w:r>
      <w:r w:rsidR="00336EDA" w:rsidRPr="00D10E73">
        <w:rPr>
          <w:rFonts w:ascii="Arial" w:hAnsi="Arial" w:cs="Arial"/>
        </w:rPr>
        <w:t xml:space="preserve">. Jako možná úprava se </w:t>
      </w:r>
      <w:r w:rsidR="008E6069" w:rsidRPr="00D10E73">
        <w:rPr>
          <w:rFonts w:ascii="Arial" w:hAnsi="Arial" w:cs="Arial"/>
        </w:rPr>
        <w:t xml:space="preserve">jeví doplnění textu: </w:t>
      </w:r>
      <w:r w:rsidR="00571B42" w:rsidRPr="00D10E73">
        <w:rPr>
          <w:rFonts w:ascii="Arial" w:hAnsi="Arial" w:cs="Arial"/>
          <w:i/>
          <w:iCs/>
        </w:rPr>
        <w:t>„je v registru ekonomických subjektů podle zákona o státní statistické službě zařazen do klasifikace s kódem institucionálního sektoru 11001“</w:t>
      </w:r>
      <w:r w:rsidR="00571B42" w:rsidRPr="00D10E73">
        <w:rPr>
          <w:rFonts w:ascii="Arial" w:hAnsi="Arial" w:cs="Arial"/>
        </w:rPr>
        <w:t xml:space="preserve">, a </w:t>
      </w:r>
      <w:r w:rsidR="008E6069" w:rsidRPr="00D10E73">
        <w:rPr>
          <w:rFonts w:ascii="Arial" w:hAnsi="Arial" w:cs="Arial"/>
        </w:rPr>
        <w:t xml:space="preserve">dále </w:t>
      </w:r>
      <w:r w:rsidR="00571B42" w:rsidRPr="00D10E73">
        <w:rPr>
          <w:rFonts w:ascii="Arial" w:hAnsi="Arial" w:cs="Arial"/>
        </w:rPr>
        <w:t xml:space="preserve">např. s přívlastkem </w:t>
      </w:r>
      <w:r w:rsidR="00571B42" w:rsidRPr="00D10E73">
        <w:rPr>
          <w:rFonts w:ascii="Arial" w:hAnsi="Arial" w:cs="Arial"/>
          <w:i/>
          <w:iCs/>
        </w:rPr>
        <w:lastRenderedPageBreak/>
        <w:t>„komunální podniky založené veřejnými zadavateli“</w:t>
      </w:r>
      <w:r w:rsidR="003A4EF3" w:rsidRPr="00D10E73">
        <w:rPr>
          <w:rFonts w:ascii="Arial" w:hAnsi="Arial" w:cs="Arial"/>
        </w:rPr>
        <w:t xml:space="preserve">, či jinou vhodnou úpravou příslušného ustanovení. </w:t>
      </w:r>
    </w:p>
    <w:p w14:paraId="709BA031" w14:textId="1FC7377F" w:rsidR="00571B42" w:rsidRPr="00D10E73" w:rsidRDefault="00DB0C80" w:rsidP="00DA3076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Řada </w:t>
      </w:r>
      <w:r w:rsidR="00D3592E" w:rsidRPr="00D10E73">
        <w:rPr>
          <w:rFonts w:ascii="Arial" w:hAnsi="Arial" w:cs="Arial"/>
        </w:rPr>
        <w:t xml:space="preserve">městských společností </w:t>
      </w:r>
      <w:r w:rsidRPr="00D10E73">
        <w:rPr>
          <w:rFonts w:ascii="Arial" w:hAnsi="Arial" w:cs="Arial"/>
        </w:rPr>
        <w:t>přesahuj</w:t>
      </w:r>
      <w:r w:rsidR="00D3592E" w:rsidRPr="00D10E73">
        <w:rPr>
          <w:rFonts w:ascii="Arial" w:hAnsi="Arial" w:cs="Arial"/>
        </w:rPr>
        <w:t>e</w:t>
      </w:r>
      <w:r w:rsidRPr="00D10E73">
        <w:rPr>
          <w:rFonts w:ascii="Arial" w:hAnsi="Arial" w:cs="Arial"/>
        </w:rPr>
        <w:t xml:space="preserve"> limit počtu zaměstnanců (&gt;250) byť jen </w:t>
      </w:r>
      <w:r w:rsidR="00963FD2">
        <w:rPr>
          <w:rFonts w:ascii="Arial" w:hAnsi="Arial" w:cs="Arial"/>
        </w:rPr>
        <w:br/>
      </w:r>
      <w:r w:rsidRPr="00D10E73">
        <w:rPr>
          <w:rFonts w:ascii="Arial" w:hAnsi="Arial" w:cs="Arial"/>
        </w:rPr>
        <w:t xml:space="preserve">o jednotky zaměstnanců, </w:t>
      </w:r>
      <w:r w:rsidR="00122E75" w:rsidRPr="00D10E73">
        <w:rPr>
          <w:rFonts w:ascii="Arial" w:hAnsi="Arial" w:cs="Arial"/>
        </w:rPr>
        <w:t xml:space="preserve">i když se zdaleka </w:t>
      </w:r>
      <w:r w:rsidRPr="00D10E73">
        <w:rPr>
          <w:rFonts w:ascii="Arial" w:hAnsi="Arial" w:cs="Arial"/>
        </w:rPr>
        <w:t>neblíží 50 mil. € obratu</w:t>
      </w:r>
      <w:r w:rsidR="00122E75" w:rsidRPr="00D10E73">
        <w:rPr>
          <w:rFonts w:ascii="Arial" w:hAnsi="Arial" w:cs="Arial"/>
        </w:rPr>
        <w:t xml:space="preserve">, tak nesplňují podmínky </w:t>
      </w:r>
      <w:r w:rsidR="00DF4F7C" w:rsidRPr="00D10E73">
        <w:rPr>
          <w:rFonts w:ascii="Arial" w:hAnsi="Arial" w:cs="Arial"/>
        </w:rPr>
        <w:t xml:space="preserve">ani </w:t>
      </w:r>
      <w:r w:rsidR="00122E75" w:rsidRPr="00D10E73">
        <w:rPr>
          <w:rFonts w:ascii="Arial" w:hAnsi="Arial" w:cs="Arial"/>
        </w:rPr>
        <w:t xml:space="preserve">pro využití </w:t>
      </w:r>
      <w:r w:rsidR="00DF4F7C" w:rsidRPr="00D10E73">
        <w:rPr>
          <w:rFonts w:ascii="Arial" w:hAnsi="Arial" w:cs="Arial"/>
        </w:rPr>
        <w:t xml:space="preserve">limitu pro malé a střední podniky. </w:t>
      </w:r>
      <w:r w:rsidRPr="00D10E73">
        <w:rPr>
          <w:rFonts w:ascii="Arial" w:hAnsi="Arial" w:cs="Arial"/>
        </w:rPr>
        <w:t xml:space="preserve"> </w:t>
      </w:r>
      <w:r w:rsidR="00DF4F7C" w:rsidRPr="00D10E73">
        <w:rPr>
          <w:rFonts w:ascii="Arial" w:hAnsi="Arial" w:cs="Arial"/>
        </w:rPr>
        <w:t xml:space="preserve">Považujeme za </w:t>
      </w:r>
      <w:r w:rsidRPr="00D10E73">
        <w:rPr>
          <w:rFonts w:ascii="Arial" w:hAnsi="Arial" w:cs="Arial"/>
        </w:rPr>
        <w:t xml:space="preserve">nepřípustné, aby </w:t>
      </w:r>
      <w:r w:rsidR="00DF4F7C" w:rsidRPr="00D10E73">
        <w:rPr>
          <w:rFonts w:ascii="Arial" w:hAnsi="Arial" w:cs="Arial"/>
        </w:rPr>
        <w:t>právnické osoby</w:t>
      </w:r>
      <w:r w:rsidRPr="00D10E73">
        <w:rPr>
          <w:rFonts w:ascii="Arial" w:hAnsi="Arial" w:cs="Arial"/>
        </w:rPr>
        <w:t>,</w:t>
      </w:r>
      <w:r w:rsidR="00DF4F7C" w:rsidRPr="00D10E73">
        <w:rPr>
          <w:rFonts w:ascii="Arial" w:hAnsi="Arial" w:cs="Arial"/>
        </w:rPr>
        <w:t xml:space="preserve"> které jsou </w:t>
      </w:r>
      <w:r w:rsidRPr="00D10E73">
        <w:rPr>
          <w:rFonts w:ascii="Arial" w:hAnsi="Arial" w:cs="Arial"/>
        </w:rPr>
        <w:t xml:space="preserve">100% vlastněné </w:t>
      </w:r>
      <w:r w:rsidR="00DF4F7C" w:rsidRPr="00D10E73">
        <w:rPr>
          <w:rFonts w:ascii="Arial" w:hAnsi="Arial" w:cs="Arial"/>
        </w:rPr>
        <w:t>územními samosprávnými celky</w:t>
      </w:r>
      <w:r w:rsidRPr="00D10E73">
        <w:rPr>
          <w:rFonts w:ascii="Arial" w:hAnsi="Arial" w:cs="Arial"/>
        </w:rPr>
        <w:t xml:space="preserve"> </w:t>
      </w:r>
      <w:r w:rsidR="00963FD2">
        <w:rPr>
          <w:rFonts w:ascii="Arial" w:hAnsi="Arial" w:cs="Arial"/>
        </w:rPr>
        <w:br/>
      </w:r>
      <w:r w:rsidRPr="00D10E73">
        <w:rPr>
          <w:rFonts w:ascii="Arial" w:hAnsi="Arial" w:cs="Arial"/>
        </w:rPr>
        <w:t xml:space="preserve">a založené k uspokojování </w:t>
      </w:r>
      <w:r w:rsidR="00865FDA" w:rsidRPr="00D10E73">
        <w:rPr>
          <w:rFonts w:ascii="Arial" w:hAnsi="Arial" w:cs="Arial"/>
        </w:rPr>
        <w:t xml:space="preserve">veřejných potřeb, </w:t>
      </w:r>
      <w:r w:rsidRPr="00D10E73">
        <w:rPr>
          <w:rFonts w:ascii="Arial" w:hAnsi="Arial" w:cs="Arial"/>
        </w:rPr>
        <w:t>byly ve stejné kategorii jako velké komerční podniky typu automobilek, oceláren či skláren nebo hutí.</w:t>
      </w:r>
    </w:p>
    <w:p w14:paraId="2D272388" w14:textId="062D1D8B" w:rsidR="00515B97" w:rsidRPr="00D10E73" w:rsidRDefault="00B74B13" w:rsidP="00DA307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Další otázka spojená </w:t>
      </w:r>
      <w:r w:rsidR="00AB539E" w:rsidRPr="00D10E73">
        <w:rPr>
          <w:rFonts w:ascii="Arial" w:hAnsi="Arial" w:cs="Arial"/>
        </w:rPr>
        <w:t>s vymezením subjektů</w:t>
      </w:r>
      <w:r w:rsidRPr="00D10E73">
        <w:rPr>
          <w:rFonts w:ascii="Arial" w:hAnsi="Arial" w:cs="Arial"/>
        </w:rPr>
        <w:t xml:space="preserve">, </w:t>
      </w:r>
      <w:r w:rsidR="007933BC" w:rsidRPr="00D10E73">
        <w:rPr>
          <w:rFonts w:ascii="Arial" w:hAnsi="Arial" w:cs="Arial"/>
        </w:rPr>
        <w:t xml:space="preserve">u nichž se uplatní stanovená cena, se týká definice malého a středního podniku. Nařízení vlády </w:t>
      </w:r>
      <w:r w:rsidR="005A72C1" w:rsidRPr="00D10E73">
        <w:rPr>
          <w:rFonts w:ascii="Arial" w:hAnsi="Arial" w:cs="Arial"/>
        </w:rPr>
        <w:t xml:space="preserve">odkazuje s definicí na čl. 2 doporučení Komise 2003/361/ES ze dne 6. května 2003 o definici mikropodniků </w:t>
      </w:r>
      <w:r w:rsidR="00963FD2">
        <w:rPr>
          <w:rFonts w:ascii="Arial" w:hAnsi="Arial" w:cs="Arial"/>
        </w:rPr>
        <w:br/>
      </w:r>
      <w:r w:rsidR="005A72C1" w:rsidRPr="00D10E73">
        <w:rPr>
          <w:rFonts w:ascii="Arial" w:hAnsi="Arial" w:cs="Arial"/>
        </w:rPr>
        <w:t>a malých a středních podniků.</w:t>
      </w:r>
      <w:r w:rsidRPr="00D10E73">
        <w:rPr>
          <w:rFonts w:ascii="Arial" w:hAnsi="Arial" w:cs="Arial"/>
        </w:rPr>
        <w:t xml:space="preserve"> </w:t>
      </w:r>
      <w:r w:rsidR="005A72C1" w:rsidRPr="00D10E73">
        <w:rPr>
          <w:rFonts w:ascii="Arial" w:hAnsi="Arial" w:cs="Arial"/>
        </w:rPr>
        <w:t xml:space="preserve">Z uvedeného odkazu není zřejmé, zda </w:t>
      </w:r>
      <w:r w:rsidR="00241E90" w:rsidRPr="00D10E73">
        <w:rPr>
          <w:rFonts w:ascii="Arial" w:hAnsi="Arial" w:cs="Arial"/>
        </w:rPr>
        <w:t>je nutné brát v rámci definice malého a středního podniku na zřetel i další články uvedeného doporučení</w:t>
      </w:r>
      <w:r w:rsidR="00CB684A" w:rsidRPr="00D10E73">
        <w:rPr>
          <w:rFonts w:ascii="Arial" w:hAnsi="Arial" w:cs="Arial"/>
        </w:rPr>
        <w:t xml:space="preserve">. Tedy zjišťovat, zda se nejedná o partnerské či propojené podniky. Z hlediska územních samospráv je pak významný výklad </w:t>
      </w:r>
      <w:r w:rsidR="005448E7" w:rsidRPr="00D10E73">
        <w:rPr>
          <w:rFonts w:ascii="Arial" w:hAnsi="Arial" w:cs="Arial"/>
        </w:rPr>
        <w:t>článku 3. bod 4</w:t>
      </w:r>
      <w:r w:rsidR="009970AB" w:rsidRPr="00D10E73">
        <w:rPr>
          <w:rFonts w:ascii="Arial" w:hAnsi="Arial" w:cs="Arial"/>
        </w:rPr>
        <w:t xml:space="preserve"> doporučení</w:t>
      </w:r>
      <w:r w:rsidR="005448E7" w:rsidRPr="00D10E73">
        <w:rPr>
          <w:rFonts w:ascii="Arial" w:hAnsi="Arial" w:cs="Arial"/>
        </w:rPr>
        <w:t>, kde je uvedeno</w:t>
      </w:r>
      <w:r w:rsidR="005448E7" w:rsidRPr="00D10E73">
        <w:rPr>
          <w:rFonts w:ascii="Arial" w:hAnsi="Arial" w:cs="Arial"/>
          <w:i/>
          <w:iCs/>
        </w:rPr>
        <w:t xml:space="preserve">: </w:t>
      </w:r>
      <w:r w:rsidR="00B76E42" w:rsidRPr="00D10E73">
        <w:rPr>
          <w:rFonts w:ascii="Arial" w:hAnsi="Arial" w:cs="Arial"/>
          <w:i/>
          <w:iCs/>
        </w:rPr>
        <w:t xml:space="preserve">„S výjimkou případů uvedených v odst. 2 druhém pododstavci nemůže být </w:t>
      </w:r>
      <w:r w:rsidR="002131EF" w:rsidRPr="00D10E73">
        <w:rPr>
          <w:rFonts w:ascii="Arial" w:hAnsi="Arial" w:cs="Arial"/>
          <w:i/>
          <w:iCs/>
        </w:rPr>
        <w:t xml:space="preserve">podnik považován za malý nebo střední podnik, jestliže je 25% nebo více procent základního kapitálu </w:t>
      </w:r>
      <w:r w:rsidR="004D1662" w:rsidRPr="00D10E73">
        <w:rPr>
          <w:rFonts w:ascii="Arial" w:hAnsi="Arial" w:cs="Arial"/>
          <w:i/>
          <w:iCs/>
        </w:rPr>
        <w:t xml:space="preserve">nebo hlasovacích práv přímo nebo nepřímo ovládáno společně </w:t>
      </w:r>
      <w:r w:rsidR="00980E2A">
        <w:rPr>
          <w:rFonts w:ascii="Arial" w:hAnsi="Arial" w:cs="Arial"/>
          <w:i/>
          <w:iCs/>
        </w:rPr>
        <w:br/>
      </w:r>
      <w:r w:rsidR="004D1662" w:rsidRPr="00D10E73">
        <w:rPr>
          <w:rFonts w:ascii="Arial" w:hAnsi="Arial" w:cs="Arial"/>
          <w:i/>
          <w:iCs/>
        </w:rPr>
        <w:t>či jednotlivě jedním či více veřejný</w:t>
      </w:r>
      <w:r w:rsidR="00B23FBD" w:rsidRPr="00D10E73">
        <w:rPr>
          <w:rFonts w:ascii="Arial" w:hAnsi="Arial" w:cs="Arial"/>
          <w:i/>
          <w:iCs/>
        </w:rPr>
        <w:t>mi</w:t>
      </w:r>
      <w:r w:rsidR="004D1662" w:rsidRPr="00D10E73">
        <w:rPr>
          <w:rFonts w:ascii="Arial" w:hAnsi="Arial" w:cs="Arial"/>
          <w:i/>
          <w:iCs/>
        </w:rPr>
        <w:t xml:space="preserve"> subjekt</w:t>
      </w:r>
      <w:r w:rsidR="00B23FBD" w:rsidRPr="00D10E73">
        <w:rPr>
          <w:rFonts w:ascii="Arial" w:hAnsi="Arial" w:cs="Arial"/>
          <w:i/>
          <w:iCs/>
        </w:rPr>
        <w:t>y</w:t>
      </w:r>
      <w:r w:rsidR="004D1662" w:rsidRPr="00D10E73">
        <w:rPr>
          <w:rFonts w:ascii="Arial" w:hAnsi="Arial" w:cs="Arial"/>
          <w:i/>
          <w:iCs/>
        </w:rPr>
        <w:t>“</w:t>
      </w:r>
      <w:r w:rsidR="004D1662" w:rsidRPr="00D10E73">
        <w:rPr>
          <w:rFonts w:ascii="Arial" w:hAnsi="Arial" w:cs="Arial"/>
        </w:rPr>
        <w:t>.</w:t>
      </w:r>
    </w:p>
    <w:p w14:paraId="5F905EE0" w14:textId="3D9DB55C" w:rsidR="00EC5DDD" w:rsidRPr="00D10E73" w:rsidRDefault="00EC5DDD" w:rsidP="00DA307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V nařízení vlády dále shledáváme </w:t>
      </w:r>
      <w:r w:rsidR="00F566EE" w:rsidRPr="00D10E73">
        <w:rPr>
          <w:rFonts w:ascii="Arial" w:hAnsi="Arial" w:cs="Arial"/>
        </w:rPr>
        <w:t xml:space="preserve">nejasnosti v pojmosloví, kdy je </w:t>
      </w:r>
      <w:r w:rsidR="00F80E8F" w:rsidRPr="00D10E73">
        <w:rPr>
          <w:rFonts w:ascii="Arial" w:hAnsi="Arial" w:cs="Arial"/>
        </w:rPr>
        <w:t>stanoveno</w:t>
      </w:r>
      <w:r w:rsidR="00F566EE" w:rsidRPr="00D10E73">
        <w:rPr>
          <w:rFonts w:ascii="Arial" w:hAnsi="Arial" w:cs="Arial"/>
        </w:rPr>
        <w:t xml:space="preserve"> v § 4 odst. 2 a odst.</w:t>
      </w:r>
      <w:r w:rsidR="00FE34CC" w:rsidRPr="00D10E73">
        <w:rPr>
          <w:rFonts w:ascii="Arial" w:hAnsi="Arial" w:cs="Arial"/>
        </w:rPr>
        <w:t xml:space="preserve"> </w:t>
      </w:r>
      <w:r w:rsidR="00F566EE" w:rsidRPr="00D10E73">
        <w:rPr>
          <w:rFonts w:ascii="Arial" w:hAnsi="Arial" w:cs="Arial"/>
        </w:rPr>
        <w:t xml:space="preserve">4 písm. a), že </w:t>
      </w:r>
      <w:r w:rsidR="007C1439" w:rsidRPr="00D10E73">
        <w:rPr>
          <w:rFonts w:ascii="Arial" w:hAnsi="Arial" w:cs="Arial"/>
        </w:rPr>
        <w:t xml:space="preserve">zákazník odebírající elektrickou energii či plyn musí splňovat podmínku malého či středního podniku. Není </w:t>
      </w:r>
      <w:r w:rsidR="001F034F" w:rsidRPr="00D10E73">
        <w:rPr>
          <w:rFonts w:ascii="Arial" w:hAnsi="Arial" w:cs="Arial"/>
        </w:rPr>
        <w:t xml:space="preserve">postaveno najisto, zda se tato podmínka vztahuje k místu spotřeby, </w:t>
      </w:r>
      <w:r w:rsidR="00B718B9" w:rsidRPr="00D10E73">
        <w:rPr>
          <w:rFonts w:ascii="Arial" w:hAnsi="Arial" w:cs="Arial"/>
        </w:rPr>
        <w:t xml:space="preserve">nebo je potřeba posuzovat malý a střední podnik dle výše uvedeného doporučení </w:t>
      </w:r>
      <w:r w:rsidR="00FF7E49" w:rsidRPr="00D10E73">
        <w:rPr>
          <w:rFonts w:ascii="Arial" w:hAnsi="Arial" w:cs="Arial"/>
        </w:rPr>
        <w:t xml:space="preserve">Evropské komise. </w:t>
      </w:r>
      <w:r w:rsidR="000D6E1D" w:rsidRPr="00D10E73">
        <w:rPr>
          <w:rFonts w:ascii="Arial" w:hAnsi="Arial" w:cs="Arial"/>
        </w:rPr>
        <w:t xml:space="preserve">V nařízení je používán </w:t>
      </w:r>
      <w:r w:rsidR="004A2ABB" w:rsidRPr="00D10E73">
        <w:rPr>
          <w:rFonts w:ascii="Arial" w:hAnsi="Arial" w:cs="Arial"/>
        </w:rPr>
        <w:t xml:space="preserve">klíčový </w:t>
      </w:r>
      <w:r w:rsidR="000D6E1D" w:rsidRPr="00D10E73">
        <w:rPr>
          <w:rFonts w:ascii="Arial" w:hAnsi="Arial" w:cs="Arial"/>
        </w:rPr>
        <w:t xml:space="preserve">pojem </w:t>
      </w:r>
      <w:r w:rsidR="004A2ABB" w:rsidRPr="00D10E73">
        <w:rPr>
          <w:rFonts w:ascii="Arial" w:hAnsi="Arial" w:cs="Arial"/>
        </w:rPr>
        <w:t>„</w:t>
      </w:r>
      <w:r w:rsidR="000D6E1D" w:rsidRPr="00D10E73">
        <w:rPr>
          <w:rFonts w:ascii="Arial" w:hAnsi="Arial" w:cs="Arial"/>
        </w:rPr>
        <w:t>místo spotřeby</w:t>
      </w:r>
      <w:r w:rsidR="004A2ABB" w:rsidRPr="00D10E73">
        <w:rPr>
          <w:rFonts w:ascii="Arial" w:hAnsi="Arial" w:cs="Arial"/>
        </w:rPr>
        <w:t>“</w:t>
      </w:r>
      <w:r w:rsidR="000D6E1D" w:rsidRPr="00D10E73">
        <w:rPr>
          <w:rFonts w:ascii="Arial" w:hAnsi="Arial" w:cs="Arial"/>
        </w:rPr>
        <w:t>, aniž by bylo dále definováno</w:t>
      </w:r>
      <w:r w:rsidR="009D0E1D" w:rsidRPr="00D10E73">
        <w:rPr>
          <w:rFonts w:ascii="Arial" w:hAnsi="Arial" w:cs="Arial"/>
        </w:rPr>
        <w:t xml:space="preserve"> (např. EAN, EIC, nebo se jedná o adres</w:t>
      </w:r>
      <w:r w:rsidR="00820477" w:rsidRPr="00D10E73">
        <w:rPr>
          <w:rFonts w:ascii="Arial" w:hAnsi="Arial" w:cs="Arial"/>
        </w:rPr>
        <w:t>u</w:t>
      </w:r>
      <w:r w:rsidR="009D0E1D" w:rsidRPr="00D10E73">
        <w:rPr>
          <w:rFonts w:ascii="Arial" w:hAnsi="Arial" w:cs="Arial"/>
        </w:rPr>
        <w:t>)</w:t>
      </w:r>
      <w:r w:rsidR="00820477" w:rsidRPr="00D10E73">
        <w:rPr>
          <w:rFonts w:ascii="Arial" w:hAnsi="Arial" w:cs="Arial"/>
        </w:rPr>
        <w:t>.</w:t>
      </w:r>
    </w:p>
    <w:p w14:paraId="25EE1152" w14:textId="11CF5A02" w:rsidR="00820477" w:rsidRPr="00D10E73" w:rsidRDefault="00820477" w:rsidP="00DA307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Nařízení vlády neřeší kontraktační povinnost dodavatelů pro </w:t>
      </w:r>
      <w:r w:rsidR="002B00DB" w:rsidRPr="00D10E73">
        <w:rPr>
          <w:rFonts w:ascii="Arial" w:hAnsi="Arial" w:cs="Arial"/>
        </w:rPr>
        <w:t xml:space="preserve">odběratele </w:t>
      </w:r>
      <w:r w:rsidR="00A8238F" w:rsidRPr="00D10E73">
        <w:rPr>
          <w:rFonts w:ascii="Arial" w:hAnsi="Arial" w:cs="Arial"/>
        </w:rPr>
        <w:t xml:space="preserve">se stanovenou cenou a </w:t>
      </w:r>
      <w:r w:rsidR="002B00DB" w:rsidRPr="00D10E73">
        <w:rPr>
          <w:rFonts w:ascii="Arial" w:hAnsi="Arial" w:cs="Arial"/>
        </w:rPr>
        <w:t xml:space="preserve">s roční spotřebou plynu nad 630 MWh. Byť se bude jednat o zákazníka, </w:t>
      </w:r>
      <w:r w:rsidR="006273F7">
        <w:rPr>
          <w:rFonts w:ascii="Arial" w:hAnsi="Arial" w:cs="Arial"/>
        </w:rPr>
        <w:br/>
      </w:r>
      <w:r w:rsidR="002B00DB" w:rsidRPr="00D10E73">
        <w:rPr>
          <w:rFonts w:ascii="Arial" w:hAnsi="Arial" w:cs="Arial"/>
        </w:rPr>
        <w:t>u kterého se uplatní stanovená cena, n</w:t>
      </w:r>
      <w:r w:rsidR="00582B6E" w:rsidRPr="00D10E73">
        <w:rPr>
          <w:rFonts w:ascii="Arial" w:hAnsi="Arial" w:cs="Arial"/>
        </w:rPr>
        <w:t>edopadá na takového zákazník</w:t>
      </w:r>
      <w:r w:rsidR="009857D7" w:rsidRPr="00D10E73">
        <w:rPr>
          <w:rFonts w:ascii="Arial" w:hAnsi="Arial" w:cs="Arial"/>
        </w:rPr>
        <w:t>a</w:t>
      </w:r>
      <w:r w:rsidR="00582B6E" w:rsidRPr="00D10E73">
        <w:rPr>
          <w:rFonts w:ascii="Arial" w:hAnsi="Arial" w:cs="Arial"/>
        </w:rPr>
        <w:t xml:space="preserve"> ustanovení § 12 </w:t>
      </w:r>
      <w:r w:rsidR="009857D7" w:rsidRPr="00D10E73">
        <w:rPr>
          <w:rFonts w:ascii="Arial" w:hAnsi="Arial" w:cs="Arial"/>
        </w:rPr>
        <w:t>nařízení vlády</w:t>
      </w:r>
      <w:r w:rsidR="00582B6E" w:rsidRPr="00D10E73">
        <w:rPr>
          <w:rFonts w:ascii="Arial" w:hAnsi="Arial" w:cs="Arial"/>
        </w:rPr>
        <w:t xml:space="preserve"> určující obchodníka s elektřinou nebo obchodníka s plynem k zajištění dodávek elektřiny nebo plynu.</w:t>
      </w:r>
      <w:r w:rsidR="009857D7" w:rsidRPr="00D10E73">
        <w:rPr>
          <w:rFonts w:ascii="Arial" w:hAnsi="Arial" w:cs="Arial"/>
        </w:rPr>
        <w:t xml:space="preserve"> </w:t>
      </w:r>
      <w:r w:rsidR="0058082B" w:rsidRPr="00D10E73">
        <w:rPr>
          <w:rFonts w:ascii="Arial" w:hAnsi="Arial" w:cs="Arial"/>
        </w:rPr>
        <w:t xml:space="preserve">Tento problém může vyvstat </w:t>
      </w:r>
      <w:r w:rsidR="004B4160" w:rsidRPr="00D10E73">
        <w:rPr>
          <w:rFonts w:ascii="Arial" w:hAnsi="Arial" w:cs="Arial"/>
        </w:rPr>
        <w:t>např.</w:t>
      </w:r>
      <w:r w:rsidR="0058082B" w:rsidRPr="00D10E73">
        <w:rPr>
          <w:rFonts w:ascii="Arial" w:hAnsi="Arial" w:cs="Arial"/>
        </w:rPr>
        <w:t xml:space="preserve"> u městských teplárenských společností, </w:t>
      </w:r>
      <w:r w:rsidR="00A91EDF" w:rsidRPr="00D10E73">
        <w:rPr>
          <w:rFonts w:ascii="Arial" w:hAnsi="Arial" w:cs="Arial"/>
        </w:rPr>
        <w:t xml:space="preserve">pokud se jim nepodaří uzavřít kontrakt na rok 2023. </w:t>
      </w:r>
      <w:r w:rsidR="0058082B" w:rsidRPr="00D10E73">
        <w:rPr>
          <w:rFonts w:ascii="Arial" w:hAnsi="Arial" w:cs="Arial"/>
        </w:rPr>
        <w:t xml:space="preserve"> </w:t>
      </w:r>
      <w:r w:rsidR="00410AE1" w:rsidRPr="00D10E73">
        <w:rPr>
          <w:rFonts w:ascii="Arial" w:hAnsi="Arial" w:cs="Arial"/>
        </w:rPr>
        <w:t xml:space="preserve">Navíc pro zákazníky s odběrem plynu nad 4 200 MWh se </w:t>
      </w:r>
      <w:r w:rsidR="00A20E1D" w:rsidRPr="00D10E73">
        <w:rPr>
          <w:rFonts w:ascii="Arial" w:hAnsi="Arial" w:cs="Arial"/>
        </w:rPr>
        <w:t>neuplatní</w:t>
      </w:r>
      <w:r w:rsidR="00A61A38" w:rsidRPr="00D10E73">
        <w:rPr>
          <w:rFonts w:ascii="Arial" w:hAnsi="Arial" w:cs="Arial"/>
        </w:rPr>
        <w:t xml:space="preserve"> nad tento limit</w:t>
      </w:r>
      <w:r w:rsidR="00A20E1D" w:rsidRPr="00D10E73">
        <w:rPr>
          <w:rFonts w:ascii="Arial" w:hAnsi="Arial" w:cs="Arial"/>
        </w:rPr>
        <w:t xml:space="preserve"> stanovená cena</w:t>
      </w:r>
      <w:r w:rsidR="00A61A38" w:rsidRPr="00D10E73">
        <w:rPr>
          <w:rFonts w:ascii="Arial" w:hAnsi="Arial" w:cs="Arial"/>
        </w:rPr>
        <w:t xml:space="preserve">. Kompenzace odběru nad 4 200 MWh </w:t>
      </w:r>
      <w:r w:rsidR="00D8311C" w:rsidRPr="00D10E73">
        <w:rPr>
          <w:rFonts w:ascii="Arial" w:hAnsi="Arial" w:cs="Arial"/>
        </w:rPr>
        <w:t xml:space="preserve">nebyla dosud vyřešena. </w:t>
      </w:r>
      <w:r w:rsidR="00A20E1D" w:rsidRPr="00D10E73">
        <w:rPr>
          <w:rFonts w:ascii="Arial" w:hAnsi="Arial" w:cs="Arial"/>
        </w:rPr>
        <w:t xml:space="preserve"> </w:t>
      </w:r>
    </w:p>
    <w:p w14:paraId="4CA8C380" w14:textId="1D59BC10" w:rsidR="007A5804" w:rsidRDefault="007A5804" w:rsidP="00DA3076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 xml:space="preserve">Další otázkou, která není uspokojivě zodpovězena, je uzavírání smluv na </w:t>
      </w:r>
      <w:r w:rsidR="002E6301" w:rsidRPr="00D10E73">
        <w:rPr>
          <w:rFonts w:ascii="Arial" w:hAnsi="Arial" w:cs="Arial"/>
        </w:rPr>
        <w:t xml:space="preserve">nákup energií. </w:t>
      </w:r>
      <w:r w:rsidR="002C5D94" w:rsidRPr="00D10E73">
        <w:rPr>
          <w:rFonts w:ascii="Arial" w:hAnsi="Arial" w:cs="Arial"/>
        </w:rPr>
        <w:t xml:space="preserve">Jedná se o </w:t>
      </w:r>
      <w:r w:rsidR="002E6301" w:rsidRPr="00D10E73">
        <w:rPr>
          <w:rFonts w:ascii="Arial" w:hAnsi="Arial" w:cs="Arial"/>
        </w:rPr>
        <w:t>veřejnou zakázku</w:t>
      </w:r>
      <w:r w:rsidR="002C5D94" w:rsidRPr="00D10E73">
        <w:rPr>
          <w:rFonts w:ascii="Arial" w:hAnsi="Arial" w:cs="Arial"/>
        </w:rPr>
        <w:t xml:space="preserve"> n</w:t>
      </w:r>
      <w:r w:rsidR="002E6301" w:rsidRPr="00D10E73">
        <w:rPr>
          <w:rFonts w:ascii="Arial" w:hAnsi="Arial" w:cs="Arial"/>
        </w:rPr>
        <w:t>a dodávky ve smyslu § 14 odst. 1</w:t>
      </w:r>
      <w:r w:rsidR="002C5D94" w:rsidRPr="00D10E73">
        <w:rPr>
          <w:rFonts w:ascii="Arial" w:hAnsi="Arial" w:cs="Arial"/>
        </w:rPr>
        <w:t xml:space="preserve"> zákona o zadávání veřejných zakázek (dále jen „ZZVZ“). </w:t>
      </w:r>
      <w:r w:rsidR="002E6301" w:rsidRPr="00D10E73">
        <w:rPr>
          <w:rFonts w:ascii="Arial" w:hAnsi="Arial" w:cs="Arial"/>
        </w:rPr>
        <w:t xml:space="preserve">Zadavatelé jsou dle ZZVZ povinni veřejné zakázky zadávat zásadně v zadávacím řízení, není-li splněna některá ze zákonných výjimek. </w:t>
      </w:r>
      <w:r w:rsidR="008671F6">
        <w:rPr>
          <w:rFonts w:ascii="Arial" w:hAnsi="Arial" w:cs="Arial"/>
        </w:rPr>
        <w:br/>
      </w:r>
      <w:r w:rsidR="002E6301" w:rsidRPr="00D10E73">
        <w:rPr>
          <w:rFonts w:ascii="Arial" w:hAnsi="Arial" w:cs="Arial"/>
        </w:rPr>
        <w:t xml:space="preserve">V případě dodávek elektrické energie či plynu přichází v úvahu prakticky jen výjimka pro veřejné zakázky malého rozsahu dle § 31 ZZVZ. Přesahuje-li předpokládaná hodnota veřejné zakázky 2 000 000 Kč, je zadavatel povinen ji zadat v zadávacím řízení, zásadně v otevřeném nebo užším řízení, v případě podlimitní veřejné zakázky připadá bez </w:t>
      </w:r>
      <w:r w:rsidR="002E6301" w:rsidRPr="00D10E73">
        <w:rPr>
          <w:rFonts w:ascii="Arial" w:hAnsi="Arial" w:cs="Arial"/>
        </w:rPr>
        <w:lastRenderedPageBreak/>
        <w:t>dalšího v úvahu též zjednodušené podlimitní řízení.</w:t>
      </w:r>
      <w:r w:rsidR="00A04AF8" w:rsidRPr="00D10E73">
        <w:rPr>
          <w:rFonts w:ascii="Arial" w:hAnsi="Arial" w:cs="Arial"/>
        </w:rPr>
        <w:t xml:space="preserve"> Zatím jsme nezaznamenali signály, že by byla připravována ad hoc novela ZZVZ, která by umožnila výjimku pro uzavření smluv na dodávky energií </w:t>
      </w:r>
      <w:r w:rsidR="00BF7FBC" w:rsidRPr="00D10E73">
        <w:rPr>
          <w:rFonts w:ascii="Arial" w:hAnsi="Arial" w:cs="Arial"/>
        </w:rPr>
        <w:t xml:space="preserve">bez zadávacího řízení. Nutno konstatovat, že taková novela by mohla </w:t>
      </w:r>
      <w:r w:rsidR="00650161" w:rsidRPr="00D10E73">
        <w:rPr>
          <w:rFonts w:ascii="Arial" w:hAnsi="Arial" w:cs="Arial"/>
        </w:rPr>
        <w:t>být uplatněna toliko v rámci podlimitního řízení, nikoliv však v rámci řízení nadlimitního</w:t>
      </w:r>
      <w:r w:rsidR="005B361B" w:rsidRPr="00D10E73">
        <w:rPr>
          <w:rFonts w:ascii="Arial" w:hAnsi="Arial" w:cs="Arial"/>
        </w:rPr>
        <w:t xml:space="preserve">. </w:t>
      </w:r>
      <w:r w:rsidR="000273C5" w:rsidRPr="00D10E73">
        <w:rPr>
          <w:rFonts w:ascii="Arial" w:hAnsi="Arial" w:cs="Arial"/>
        </w:rPr>
        <w:t xml:space="preserve">V případě zásahu do zadávacího řízení u nadlimitních veřejných zakázek, by se taková úprava mohla dostat do rozporu se </w:t>
      </w:r>
      <w:r w:rsidR="005B361B" w:rsidRPr="00D10E73">
        <w:rPr>
          <w:rFonts w:ascii="Arial" w:hAnsi="Arial" w:cs="Arial"/>
        </w:rPr>
        <w:t>Směrnic</w:t>
      </w:r>
      <w:r w:rsidR="000273C5" w:rsidRPr="00D10E73">
        <w:rPr>
          <w:rFonts w:ascii="Arial" w:hAnsi="Arial" w:cs="Arial"/>
        </w:rPr>
        <w:t>í</w:t>
      </w:r>
      <w:r w:rsidR="005B361B" w:rsidRPr="00D10E73">
        <w:rPr>
          <w:rFonts w:ascii="Arial" w:hAnsi="Arial" w:cs="Arial"/>
        </w:rPr>
        <w:t xml:space="preserve"> Evropského parlamentu </w:t>
      </w:r>
      <w:r w:rsidR="008671F6">
        <w:rPr>
          <w:rFonts w:ascii="Arial" w:hAnsi="Arial" w:cs="Arial"/>
        </w:rPr>
        <w:br/>
      </w:r>
      <w:r w:rsidR="005B361B" w:rsidRPr="00D10E73">
        <w:rPr>
          <w:rFonts w:ascii="Arial" w:hAnsi="Arial" w:cs="Arial"/>
        </w:rPr>
        <w:t>a Rady 2014/24/EU ze dne 26. února 2014 o zadávání veřejných zakázek</w:t>
      </w:r>
      <w:r w:rsidR="000273C5" w:rsidRPr="00D10E73">
        <w:rPr>
          <w:rFonts w:ascii="Arial" w:hAnsi="Arial" w:cs="Arial"/>
        </w:rPr>
        <w:t>.</w:t>
      </w:r>
      <w:r w:rsidR="00505947" w:rsidRPr="00D10E73">
        <w:rPr>
          <w:rFonts w:ascii="Arial" w:hAnsi="Arial" w:cs="Arial"/>
        </w:rPr>
        <w:t xml:space="preserve"> </w:t>
      </w:r>
    </w:p>
    <w:p w14:paraId="16844A1D" w14:textId="4A36F773" w:rsidR="0065067D" w:rsidRDefault="00B14402" w:rsidP="00432AE4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01FDA">
        <w:rPr>
          <w:rFonts w:ascii="Arial" w:hAnsi="Arial" w:cs="Arial"/>
        </w:rPr>
        <w:t xml:space="preserve">Nařízení </w:t>
      </w:r>
      <w:r w:rsidR="00B16AD8" w:rsidRPr="00C01FDA">
        <w:rPr>
          <w:rFonts w:ascii="Arial" w:hAnsi="Arial" w:cs="Arial"/>
        </w:rPr>
        <w:t>vlády dostatečně</w:t>
      </w:r>
      <w:r w:rsidR="00F163E6" w:rsidRPr="00C01FDA">
        <w:rPr>
          <w:rFonts w:ascii="Arial" w:hAnsi="Arial" w:cs="Arial"/>
        </w:rPr>
        <w:t xml:space="preserve"> neřeší vyšší náklady měst a obcí na energie u objektů, které jsou sice v jejich vlastnictví, ale jsou pronajaté </w:t>
      </w:r>
      <w:r w:rsidR="00F51359" w:rsidRPr="00C01FDA">
        <w:rPr>
          <w:rFonts w:ascii="Arial" w:hAnsi="Arial" w:cs="Arial"/>
        </w:rPr>
        <w:t>subjektům</w:t>
      </w:r>
      <w:r w:rsidR="00C55925" w:rsidRPr="00C01FDA">
        <w:rPr>
          <w:rFonts w:ascii="Arial" w:hAnsi="Arial" w:cs="Arial"/>
        </w:rPr>
        <w:t>, které poskytují služby veřejnosti (na</w:t>
      </w:r>
      <w:r w:rsidR="00F163E6" w:rsidRPr="00C01FDA">
        <w:rPr>
          <w:rFonts w:ascii="Arial" w:hAnsi="Arial" w:cs="Arial"/>
        </w:rPr>
        <w:t xml:space="preserve">př. </w:t>
      </w:r>
      <w:r w:rsidR="00936D1F">
        <w:rPr>
          <w:rFonts w:ascii="Arial" w:hAnsi="Arial" w:cs="Arial"/>
        </w:rPr>
        <w:t xml:space="preserve">bazény, </w:t>
      </w:r>
      <w:r w:rsidR="00C55925" w:rsidRPr="00C01FDA">
        <w:rPr>
          <w:rFonts w:ascii="Arial" w:hAnsi="Arial" w:cs="Arial"/>
        </w:rPr>
        <w:t>s</w:t>
      </w:r>
      <w:r w:rsidR="00F163E6" w:rsidRPr="00C01FDA">
        <w:rPr>
          <w:rFonts w:ascii="Arial" w:hAnsi="Arial" w:cs="Arial"/>
        </w:rPr>
        <w:t>tadiony, haly a sportoviště</w:t>
      </w:r>
      <w:r w:rsidR="00C55925" w:rsidRPr="00C01FDA">
        <w:rPr>
          <w:rFonts w:ascii="Arial" w:hAnsi="Arial" w:cs="Arial"/>
        </w:rPr>
        <w:t>, kulturní zařízení</w:t>
      </w:r>
      <w:r w:rsidR="00F163E6" w:rsidRPr="00C01FDA">
        <w:rPr>
          <w:rFonts w:ascii="Arial" w:hAnsi="Arial" w:cs="Arial"/>
        </w:rPr>
        <w:t>)</w:t>
      </w:r>
      <w:r w:rsidR="008248E6" w:rsidRPr="00C01FDA">
        <w:rPr>
          <w:rFonts w:ascii="Arial" w:hAnsi="Arial" w:cs="Arial"/>
        </w:rPr>
        <w:t>. E</w:t>
      </w:r>
      <w:r w:rsidR="00F163E6" w:rsidRPr="00C01FDA">
        <w:rPr>
          <w:rFonts w:ascii="Arial" w:hAnsi="Arial" w:cs="Arial"/>
        </w:rPr>
        <w:t>nergie</w:t>
      </w:r>
      <w:r w:rsidR="008248E6" w:rsidRPr="00C01FDA">
        <w:rPr>
          <w:rFonts w:ascii="Arial" w:hAnsi="Arial" w:cs="Arial"/>
        </w:rPr>
        <w:t xml:space="preserve"> v těchto případech</w:t>
      </w:r>
      <w:r w:rsidR="00F163E6" w:rsidRPr="00C01FDA">
        <w:rPr>
          <w:rFonts w:ascii="Arial" w:hAnsi="Arial" w:cs="Arial"/>
        </w:rPr>
        <w:t xml:space="preserve"> platí nájemce (je vlastníkem odběrného místa), ale město či obec </w:t>
      </w:r>
      <w:r w:rsidR="0074472F" w:rsidRPr="00C01FDA">
        <w:rPr>
          <w:rFonts w:ascii="Arial" w:hAnsi="Arial" w:cs="Arial"/>
        </w:rPr>
        <w:t xml:space="preserve">se </w:t>
      </w:r>
      <w:r w:rsidR="005E3FCC" w:rsidRPr="00C01FDA">
        <w:rPr>
          <w:rFonts w:ascii="Arial" w:hAnsi="Arial" w:cs="Arial"/>
        </w:rPr>
        <w:t xml:space="preserve">spolupodílí </w:t>
      </w:r>
      <w:r w:rsidR="0074472F" w:rsidRPr="00C01FDA">
        <w:rPr>
          <w:rFonts w:ascii="Arial" w:hAnsi="Arial" w:cs="Arial"/>
        </w:rPr>
        <w:t xml:space="preserve">na provozních nákladech jeho činnosti v souladu s pravidly veřejné podpory </w:t>
      </w:r>
      <w:r w:rsidR="00F163E6" w:rsidRPr="00C01FDA">
        <w:rPr>
          <w:rFonts w:ascii="Arial" w:hAnsi="Arial" w:cs="Arial"/>
        </w:rPr>
        <w:t>na základě obecné či blokové výjimky nebo služby obecného hospodářského zájmu</w:t>
      </w:r>
      <w:r w:rsidR="0013322B" w:rsidRPr="00C01FDA">
        <w:rPr>
          <w:rFonts w:ascii="Arial" w:hAnsi="Arial" w:cs="Arial"/>
        </w:rPr>
        <w:t xml:space="preserve">. </w:t>
      </w:r>
      <w:r w:rsidR="008A0B2C" w:rsidRPr="00C01FDA">
        <w:rPr>
          <w:rFonts w:ascii="Arial" w:hAnsi="Arial" w:cs="Arial"/>
        </w:rPr>
        <w:t xml:space="preserve">Takové objekty by rovněž bylo vhodné </w:t>
      </w:r>
      <w:r w:rsidR="00F163E6" w:rsidRPr="00C01FDA">
        <w:rPr>
          <w:rFonts w:ascii="Arial" w:hAnsi="Arial" w:cs="Arial"/>
        </w:rPr>
        <w:t>zahrnout do kategorie zákazníka u elektřiny pod § 4 odst. 1, písm. b) a u plynu pod § 4 odst. 3, písm. b</w:t>
      </w:r>
      <w:r w:rsidR="004622AF" w:rsidRPr="00C01FDA">
        <w:rPr>
          <w:rFonts w:ascii="Arial" w:hAnsi="Arial" w:cs="Arial"/>
        </w:rPr>
        <w:t>).</w:t>
      </w:r>
      <w:r w:rsidR="00D874F6">
        <w:rPr>
          <w:rFonts w:ascii="Arial" w:hAnsi="Arial" w:cs="Arial"/>
        </w:rPr>
        <w:t xml:space="preserve"> S ohledem na energeticky náročný provoz nebudou </w:t>
      </w:r>
      <w:r w:rsidR="00CE3339">
        <w:rPr>
          <w:rFonts w:ascii="Arial" w:hAnsi="Arial" w:cs="Arial"/>
        </w:rPr>
        <w:t xml:space="preserve">tyto subjekty schopny financovat náklady </w:t>
      </w:r>
      <w:r w:rsidR="0093255B">
        <w:rPr>
          <w:rFonts w:ascii="Arial" w:hAnsi="Arial" w:cs="Arial"/>
        </w:rPr>
        <w:t xml:space="preserve">energií nad </w:t>
      </w:r>
      <w:r w:rsidR="00C01FDA" w:rsidRPr="00C01FDA">
        <w:rPr>
          <w:rFonts w:ascii="Arial" w:hAnsi="Arial" w:cs="Arial"/>
        </w:rPr>
        <w:t>80% již tak nákladného strop</w:t>
      </w:r>
      <w:r w:rsidR="0057074E">
        <w:rPr>
          <w:rFonts w:ascii="Arial" w:hAnsi="Arial" w:cs="Arial"/>
        </w:rPr>
        <w:t>u</w:t>
      </w:r>
      <w:r w:rsidR="00B82714">
        <w:rPr>
          <w:rFonts w:ascii="Arial" w:hAnsi="Arial" w:cs="Arial"/>
        </w:rPr>
        <w:t xml:space="preserve"> (</w:t>
      </w:r>
      <w:r w:rsidR="0093255B">
        <w:rPr>
          <w:rFonts w:ascii="Arial" w:hAnsi="Arial" w:cs="Arial"/>
        </w:rPr>
        <w:t>v převážné většině</w:t>
      </w:r>
      <w:r w:rsidR="00B82714">
        <w:rPr>
          <w:rFonts w:ascii="Arial" w:hAnsi="Arial" w:cs="Arial"/>
        </w:rPr>
        <w:t xml:space="preserve"> se bude jednat </w:t>
      </w:r>
      <w:r w:rsidR="0093255B">
        <w:rPr>
          <w:rFonts w:ascii="Arial" w:hAnsi="Arial" w:cs="Arial"/>
        </w:rPr>
        <w:t>o malé a střední podni</w:t>
      </w:r>
      <w:r w:rsidR="00DA5291">
        <w:rPr>
          <w:rFonts w:ascii="Arial" w:hAnsi="Arial" w:cs="Arial"/>
        </w:rPr>
        <w:t>ky</w:t>
      </w:r>
      <w:r w:rsidR="00C01FDA" w:rsidRPr="00C01FDA">
        <w:rPr>
          <w:rFonts w:ascii="Arial" w:hAnsi="Arial" w:cs="Arial"/>
        </w:rPr>
        <w:t>)</w:t>
      </w:r>
      <w:r w:rsidR="0057074E">
        <w:rPr>
          <w:rFonts w:ascii="Arial" w:hAnsi="Arial" w:cs="Arial"/>
        </w:rPr>
        <w:t>. M</w:t>
      </w:r>
      <w:r w:rsidR="00C01FDA" w:rsidRPr="00C01FDA">
        <w:rPr>
          <w:rFonts w:ascii="Arial" w:hAnsi="Arial" w:cs="Arial"/>
        </w:rPr>
        <w:t>ěst</w:t>
      </w:r>
      <w:r w:rsidR="0057074E">
        <w:rPr>
          <w:rFonts w:ascii="Arial" w:hAnsi="Arial" w:cs="Arial"/>
        </w:rPr>
        <w:t>a</w:t>
      </w:r>
      <w:r w:rsidR="00C01FDA" w:rsidRPr="00C01FDA">
        <w:rPr>
          <w:rFonts w:ascii="Arial" w:hAnsi="Arial" w:cs="Arial"/>
        </w:rPr>
        <w:t xml:space="preserve"> či ob</w:t>
      </w:r>
      <w:r w:rsidR="007B44E0">
        <w:rPr>
          <w:rFonts w:ascii="Arial" w:hAnsi="Arial" w:cs="Arial"/>
        </w:rPr>
        <w:t>ce</w:t>
      </w:r>
      <w:r w:rsidR="0057074E">
        <w:rPr>
          <w:rFonts w:ascii="Arial" w:hAnsi="Arial" w:cs="Arial"/>
        </w:rPr>
        <w:t xml:space="preserve">, budou-li chtít zachovat služby veřejnosti, budou muset </w:t>
      </w:r>
      <w:r w:rsidR="00C01FDA" w:rsidRPr="00C01FDA">
        <w:rPr>
          <w:rFonts w:ascii="Arial" w:hAnsi="Arial" w:cs="Arial"/>
        </w:rPr>
        <w:t xml:space="preserve">tyto </w:t>
      </w:r>
      <w:r w:rsidR="00DD4E84">
        <w:rPr>
          <w:rFonts w:ascii="Arial" w:hAnsi="Arial" w:cs="Arial"/>
        </w:rPr>
        <w:t xml:space="preserve">provozní </w:t>
      </w:r>
      <w:r w:rsidR="00C01FDA" w:rsidRPr="00C01FDA">
        <w:rPr>
          <w:rFonts w:ascii="Arial" w:hAnsi="Arial" w:cs="Arial"/>
        </w:rPr>
        <w:t xml:space="preserve">náklady </w:t>
      </w:r>
      <w:r w:rsidR="00DD4E84">
        <w:rPr>
          <w:rFonts w:ascii="Arial" w:hAnsi="Arial" w:cs="Arial"/>
        </w:rPr>
        <w:t>dle s</w:t>
      </w:r>
      <w:r w:rsidR="00C01FDA" w:rsidRPr="00C01FDA">
        <w:rPr>
          <w:rFonts w:ascii="Arial" w:hAnsi="Arial" w:cs="Arial"/>
        </w:rPr>
        <w:t>vých smluv dofinancovávat</w:t>
      </w:r>
      <w:r w:rsidR="007B44E0">
        <w:rPr>
          <w:rFonts w:ascii="Arial" w:hAnsi="Arial" w:cs="Arial"/>
        </w:rPr>
        <w:t xml:space="preserve">. Tyto finance budou následně chybět </w:t>
      </w:r>
      <w:r w:rsidR="0065067D">
        <w:rPr>
          <w:rFonts w:ascii="Arial" w:hAnsi="Arial" w:cs="Arial"/>
        </w:rPr>
        <w:t xml:space="preserve">zejména v investicích. </w:t>
      </w:r>
    </w:p>
    <w:p w14:paraId="0D444780" w14:textId="34EB2182" w:rsidR="00A031DC" w:rsidRPr="0065067D" w:rsidRDefault="0081689E" w:rsidP="0065067D">
      <w:pPr>
        <w:jc w:val="both"/>
        <w:rPr>
          <w:rFonts w:ascii="Arial" w:hAnsi="Arial" w:cs="Arial"/>
        </w:rPr>
      </w:pPr>
      <w:r w:rsidRPr="0065067D">
        <w:rPr>
          <w:rFonts w:ascii="Arial" w:hAnsi="Arial" w:cs="Arial"/>
        </w:rPr>
        <w:t>Vážený pane ministře, jak</w:t>
      </w:r>
      <w:r w:rsidR="000273C5" w:rsidRPr="0065067D">
        <w:rPr>
          <w:rFonts w:ascii="Arial" w:hAnsi="Arial" w:cs="Arial"/>
        </w:rPr>
        <w:t xml:space="preserve"> je výše naznačeno, </w:t>
      </w:r>
      <w:r w:rsidR="00D71246" w:rsidRPr="0065067D">
        <w:rPr>
          <w:rFonts w:ascii="Arial" w:hAnsi="Arial" w:cs="Arial"/>
        </w:rPr>
        <w:t xml:space="preserve">nařízení vlády o stanovení cen elektřiny a plynu v mimořádné tržní situaci přineslo obcím </w:t>
      </w:r>
      <w:r w:rsidR="00425FD3" w:rsidRPr="0065067D">
        <w:rPr>
          <w:rFonts w:ascii="Arial" w:hAnsi="Arial" w:cs="Arial"/>
        </w:rPr>
        <w:t xml:space="preserve">a městům více otázek, než odpovědí. </w:t>
      </w:r>
      <w:r w:rsidR="00664304" w:rsidRPr="0065067D">
        <w:rPr>
          <w:rFonts w:ascii="Arial" w:hAnsi="Arial" w:cs="Arial"/>
        </w:rPr>
        <w:t xml:space="preserve">Výše uvedené dotazy vyplynuly z rychlého průzkumu mezi našimi členy. Je pravděpodobné, že aplikační praxe přinese řadu dalších otázek, na které nebudeme znát odpověď. </w:t>
      </w:r>
      <w:r w:rsidR="00425FD3" w:rsidRPr="0065067D">
        <w:rPr>
          <w:rFonts w:ascii="Arial" w:hAnsi="Arial" w:cs="Arial"/>
        </w:rPr>
        <w:t>Z</w:t>
      </w:r>
      <w:r w:rsidRPr="0065067D">
        <w:rPr>
          <w:rFonts w:ascii="Arial" w:hAnsi="Arial" w:cs="Arial"/>
        </w:rPr>
        <w:t xml:space="preserve">e strany SMO ČR a jeho zástupců již </w:t>
      </w:r>
      <w:r w:rsidR="00425FD3" w:rsidRPr="0065067D">
        <w:rPr>
          <w:rFonts w:ascii="Arial" w:hAnsi="Arial" w:cs="Arial"/>
        </w:rPr>
        <w:t xml:space="preserve">bylo </w:t>
      </w:r>
      <w:r w:rsidRPr="0065067D">
        <w:rPr>
          <w:rFonts w:ascii="Arial" w:hAnsi="Arial" w:cs="Arial"/>
        </w:rPr>
        <w:t xml:space="preserve">mnohokrát avizováno, </w:t>
      </w:r>
      <w:r w:rsidR="00425FD3" w:rsidRPr="0065067D">
        <w:rPr>
          <w:rFonts w:ascii="Arial" w:hAnsi="Arial" w:cs="Arial"/>
        </w:rPr>
        <w:t xml:space="preserve">že </w:t>
      </w:r>
      <w:r w:rsidRPr="0065067D">
        <w:rPr>
          <w:rFonts w:ascii="Arial" w:hAnsi="Arial" w:cs="Arial"/>
        </w:rPr>
        <w:t>obce a města mají velký zájem být</w:t>
      </w:r>
      <w:r w:rsidR="0065067D" w:rsidRPr="0065067D">
        <w:rPr>
          <w:rFonts w:ascii="Arial" w:hAnsi="Arial" w:cs="Arial"/>
        </w:rPr>
        <w:t xml:space="preserve"> </w:t>
      </w:r>
      <w:r w:rsidRPr="0065067D">
        <w:rPr>
          <w:rFonts w:ascii="Arial" w:hAnsi="Arial" w:cs="Arial"/>
        </w:rPr>
        <w:t xml:space="preserve">partnerem </w:t>
      </w:r>
      <w:r w:rsidR="008671F6" w:rsidRPr="0065067D">
        <w:rPr>
          <w:rFonts w:ascii="Arial" w:hAnsi="Arial" w:cs="Arial"/>
        </w:rPr>
        <w:br/>
      </w:r>
      <w:r w:rsidRPr="0065067D">
        <w:rPr>
          <w:rFonts w:ascii="Arial" w:hAnsi="Arial" w:cs="Arial"/>
        </w:rPr>
        <w:t xml:space="preserve">pro vládu. </w:t>
      </w:r>
      <w:r w:rsidR="000B194A" w:rsidRPr="0065067D">
        <w:rPr>
          <w:rFonts w:ascii="Arial" w:hAnsi="Arial" w:cs="Arial"/>
        </w:rPr>
        <w:t>Stejný postoj zaujímáme i nyní a j</w:t>
      </w:r>
      <w:r w:rsidR="009378AE" w:rsidRPr="0065067D">
        <w:rPr>
          <w:rFonts w:ascii="Arial" w:hAnsi="Arial" w:cs="Arial"/>
        </w:rPr>
        <w:t xml:space="preserve">sme připraveni osvětlit výše uvedené podněty, bude-li to pro přípravu metodiky či stanoviska třeba. </w:t>
      </w:r>
      <w:r w:rsidR="005F551F" w:rsidRPr="0065067D">
        <w:rPr>
          <w:rFonts w:ascii="Arial" w:hAnsi="Arial" w:cs="Arial"/>
        </w:rPr>
        <w:t>Naším společným cílem je stabilizace situace na energetickém trhu</w:t>
      </w:r>
      <w:r w:rsidR="006A485C" w:rsidRPr="0065067D">
        <w:rPr>
          <w:rFonts w:ascii="Arial" w:hAnsi="Arial" w:cs="Arial"/>
        </w:rPr>
        <w:t xml:space="preserve"> a poskytnutí jistoty pro naše obce a města, a především jejich občany. </w:t>
      </w:r>
    </w:p>
    <w:p w14:paraId="7203481E" w14:textId="77777777" w:rsidR="00A26D18" w:rsidRPr="00D10E73" w:rsidRDefault="00A26D18" w:rsidP="00A26D18">
      <w:pPr>
        <w:spacing w:line="276" w:lineRule="auto"/>
        <w:jc w:val="both"/>
        <w:rPr>
          <w:rFonts w:ascii="Arial" w:hAnsi="Arial" w:cs="Arial"/>
        </w:rPr>
      </w:pPr>
    </w:p>
    <w:p w14:paraId="1E04B06C" w14:textId="103BA1F3" w:rsidR="00A031DC" w:rsidRPr="00D10E73" w:rsidRDefault="00A031DC" w:rsidP="00A26D18">
      <w:pPr>
        <w:spacing w:line="276" w:lineRule="auto"/>
        <w:jc w:val="both"/>
        <w:rPr>
          <w:rFonts w:ascii="Arial" w:hAnsi="Arial" w:cs="Arial"/>
        </w:rPr>
      </w:pPr>
      <w:r w:rsidRPr="00D10E73">
        <w:rPr>
          <w:rFonts w:ascii="Arial" w:hAnsi="Arial" w:cs="Arial"/>
        </w:rPr>
        <w:t>S úctou</w:t>
      </w:r>
    </w:p>
    <w:p w14:paraId="5D4560E9" w14:textId="15B6C2E8" w:rsidR="00ED3CAB" w:rsidRPr="00D10E73" w:rsidRDefault="00ED3CAB" w:rsidP="00184F93">
      <w:pPr>
        <w:spacing w:after="0" w:line="240" w:lineRule="auto"/>
        <w:rPr>
          <w:rFonts w:ascii="Arial" w:eastAsia="Times New Roman" w:hAnsi="Arial" w:cs="Arial"/>
        </w:rPr>
      </w:pPr>
    </w:p>
    <w:p w14:paraId="1F5FF162" w14:textId="3EBC11CC" w:rsidR="00A031DC" w:rsidRPr="00D10E73" w:rsidRDefault="00A031DC" w:rsidP="00184F93">
      <w:pPr>
        <w:spacing w:after="0" w:line="240" w:lineRule="auto"/>
        <w:rPr>
          <w:rFonts w:ascii="Arial" w:eastAsia="Times New Roman" w:hAnsi="Arial" w:cs="Arial"/>
        </w:rPr>
      </w:pPr>
    </w:p>
    <w:p w14:paraId="500386BD" w14:textId="3254F360" w:rsidR="00A031DC" w:rsidRPr="00D10E73" w:rsidRDefault="00A031DC" w:rsidP="00184F93">
      <w:pPr>
        <w:spacing w:after="0" w:line="240" w:lineRule="auto"/>
        <w:rPr>
          <w:rFonts w:ascii="Arial" w:eastAsia="Times New Roman" w:hAnsi="Arial" w:cs="Arial"/>
        </w:rPr>
      </w:pPr>
    </w:p>
    <w:p w14:paraId="7CB72EA3" w14:textId="16EE1952" w:rsidR="00A031DC" w:rsidRDefault="00A031DC" w:rsidP="00184F93">
      <w:pPr>
        <w:spacing w:after="0" w:line="240" w:lineRule="auto"/>
        <w:rPr>
          <w:rFonts w:ascii="Arial" w:eastAsia="Times New Roman" w:hAnsi="Arial" w:cs="Arial"/>
        </w:rPr>
      </w:pPr>
    </w:p>
    <w:p w14:paraId="474E200D" w14:textId="77777777" w:rsidR="0065067D" w:rsidRDefault="0065067D" w:rsidP="00184F93">
      <w:pPr>
        <w:spacing w:after="0" w:line="240" w:lineRule="auto"/>
        <w:rPr>
          <w:rFonts w:ascii="Arial" w:eastAsia="Times New Roman" w:hAnsi="Arial" w:cs="Arial"/>
        </w:rPr>
      </w:pPr>
    </w:p>
    <w:p w14:paraId="7B65AD24" w14:textId="77777777" w:rsidR="00EA46E4" w:rsidRPr="00D10E73" w:rsidRDefault="00EA46E4" w:rsidP="00EA46E4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t>Vážený pan</w:t>
      </w:r>
    </w:p>
    <w:p w14:paraId="06B03585" w14:textId="565DBA3B" w:rsidR="00EA46E4" w:rsidRPr="00D10E73" w:rsidRDefault="00EA46E4" w:rsidP="00EA46E4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t xml:space="preserve">Ing. </w:t>
      </w:r>
      <w:r w:rsidR="0007130F" w:rsidRPr="00D10E73">
        <w:rPr>
          <w:rFonts w:ascii="Arial" w:hAnsi="Arial" w:cs="Arial"/>
          <w:b/>
          <w:bCs/>
        </w:rPr>
        <w:t>Jozef Síkela</w:t>
      </w:r>
    </w:p>
    <w:p w14:paraId="3101D11C" w14:textId="1B595B45" w:rsidR="00EA46E4" w:rsidRPr="00D10E73" w:rsidRDefault="0007130F" w:rsidP="0007130F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t>ministr průmyslu a obchodu</w:t>
      </w:r>
    </w:p>
    <w:p w14:paraId="2DBFF5F1" w14:textId="6769B980" w:rsidR="00EA46E4" w:rsidRPr="00D10E73" w:rsidRDefault="00EA46E4" w:rsidP="00EA46E4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t xml:space="preserve">Ministerstvo </w:t>
      </w:r>
      <w:r w:rsidR="0007130F" w:rsidRPr="00D10E73">
        <w:rPr>
          <w:rFonts w:ascii="Arial" w:hAnsi="Arial" w:cs="Arial"/>
          <w:b/>
          <w:bCs/>
        </w:rPr>
        <w:t>průmyslu a obchodu</w:t>
      </w:r>
    </w:p>
    <w:p w14:paraId="384ADF11" w14:textId="67775D61" w:rsidR="00EA46E4" w:rsidRPr="00D10E73" w:rsidRDefault="0007130F" w:rsidP="00EA46E4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lastRenderedPageBreak/>
        <w:t>Na Františku 32</w:t>
      </w:r>
    </w:p>
    <w:p w14:paraId="2B5C51B7" w14:textId="7BECB73B" w:rsidR="00EA46E4" w:rsidRPr="00D10E73" w:rsidRDefault="00EA46E4" w:rsidP="00EA46E4">
      <w:pPr>
        <w:spacing w:after="0" w:line="240" w:lineRule="auto"/>
        <w:rPr>
          <w:rFonts w:ascii="Arial" w:hAnsi="Arial" w:cs="Arial"/>
          <w:b/>
          <w:bCs/>
        </w:rPr>
      </w:pPr>
      <w:r w:rsidRPr="00D10E73">
        <w:rPr>
          <w:rFonts w:ascii="Arial" w:hAnsi="Arial" w:cs="Arial"/>
          <w:b/>
          <w:bCs/>
        </w:rPr>
        <w:t xml:space="preserve">110 </w:t>
      </w:r>
      <w:r w:rsidR="0007130F" w:rsidRPr="00D10E73">
        <w:rPr>
          <w:rFonts w:ascii="Arial" w:hAnsi="Arial" w:cs="Arial"/>
          <w:b/>
          <w:bCs/>
        </w:rPr>
        <w:t>15</w:t>
      </w:r>
      <w:r w:rsidRPr="00D10E73">
        <w:rPr>
          <w:rFonts w:ascii="Arial" w:hAnsi="Arial" w:cs="Arial"/>
          <w:b/>
          <w:bCs/>
        </w:rPr>
        <w:t xml:space="preserve">  Praha 1</w:t>
      </w:r>
    </w:p>
    <w:p w14:paraId="6809D813" w14:textId="5AB62C38" w:rsidR="004B7F0A" w:rsidRDefault="004B7F0A" w:rsidP="00C911D0">
      <w:pPr>
        <w:spacing w:after="0" w:line="240" w:lineRule="auto"/>
        <w:rPr>
          <w:rFonts w:ascii="Arial" w:hAnsi="Arial" w:cs="Arial"/>
          <w:b/>
          <w:bCs/>
        </w:rPr>
      </w:pPr>
    </w:p>
    <w:p w14:paraId="19CB560F" w14:textId="28B13EA3" w:rsidR="000A469A" w:rsidRDefault="000A469A" w:rsidP="00C911D0">
      <w:pPr>
        <w:spacing w:after="0" w:line="240" w:lineRule="auto"/>
        <w:rPr>
          <w:rFonts w:ascii="Arial" w:hAnsi="Arial" w:cs="Arial"/>
          <w:b/>
          <w:bCs/>
        </w:rPr>
      </w:pPr>
    </w:p>
    <w:p w14:paraId="32BCCE1B" w14:textId="77777777" w:rsidR="000A469A" w:rsidRPr="00C911D0" w:rsidRDefault="000A469A" w:rsidP="00C911D0">
      <w:pPr>
        <w:spacing w:after="0" w:line="240" w:lineRule="auto"/>
        <w:rPr>
          <w:rFonts w:ascii="Arial" w:hAnsi="Arial" w:cs="Arial"/>
          <w:b/>
          <w:bCs/>
        </w:rPr>
      </w:pPr>
    </w:p>
    <w:sectPr w:rsidR="000A469A" w:rsidRPr="00C911D0" w:rsidSect="00E3615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274" w:bottom="2268" w:left="1418" w:header="113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FA2F" w14:textId="77777777" w:rsidR="00213094" w:rsidRDefault="00213094" w:rsidP="005D5509">
      <w:pPr>
        <w:spacing w:after="0" w:line="240" w:lineRule="auto"/>
      </w:pPr>
      <w:r>
        <w:separator/>
      </w:r>
    </w:p>
  </w:endnote>
  <w:endnote w:type="continuationSeparator" w:id="0">
    <w:p w14:paraId="273494DB" w14:textId="77777777" w:rsidR="00213094" w:rsidRDefault="00213094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56491"/>
      <w:docPartObj>
        <w:docPartGallery w:val="Page Numbers (Bottom of Page)"/>
        <w:docPartUnique/>
      </w:docPartObj>
    </w:sdtPr>
    <w:sdtContent>
      <w:p w14:paraId="51CF97F5" w14:textId="08DF5AB8" w:rsidR="00D10E73" w:rsidRDefault="00D10E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0852AF" w14:textId="77777777" w:rsidR="00D10E73" w:rsidRDefault="00D10E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97D1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Svaz měst a obcí ČR</w:t>
    </w:r>
  </w:p>
  <w:p w14:paraId="45A12E2D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5. května 1640/65, 140 00 Praha 4, Česká republika, IČ: 63113074, DIČ: CZ 63113074</w:t>
    </w:r>
  </w:p>
  <w:p w14:paraId="53755AEC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Tel.: 234 709 711, e-mail: </w:t>
    </w:r>
    <w:hyperlink r:id="rId1" w:history="1">
      <w:r w:rsidRPr="00660E0C">
        <w:rPr>
          <w:rStyle w:val="Hypertextovodkaz"/>
          <w:rFonts w:ascii="Futura T OT" w:hAnsi="Futura T OT"/>
          <w:b/>
          <w:bCs/>
          <w:color w:val="auto"/>
          <w:sz w:val="20"/>
          <w:szCs w:val="20"/>
        </w:rPr>
        <w:t>smocr@smocr.cz</w:t>
      </w:r>
    </w:hyperlink>
  </w:p>
  <w:p w14:paraId="582E031F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Bank. spoj.: Komerční banka,a.s, č.ú.19-9221540247/0100</w:t>
    </w:r>
  </w:p>
  <w:p w14:paraId="783AB1F9" w14:textId="77777777" w:rsidR="009312B7" w:rsidRPr="00660E0C" w:rsidRDefault="009312B7">
    <w:pPr>
      <w:pStyle w:val="Zpat"/>
      <w:rPr>
        <w:rFonts w:ascii="Futura T OT" w:hAnsi="Futura T OT"/>
        <w:b/>
        <w:bCs/>
        <w:sz w:val="28"/>
        <w:szCs w:val="28"/>
      </w:rPr>
    </w:pPr>
    <w:r w:rsidRPr="00660E0C">
      <w:rPr>
        <w:rFonts w:ascii="Futura T OT" w:hAnsi="Futura T OT"/>
        <w:b/>
        <w:bCs/>
        <w:sz w:val="28"/>
        <w:szCs w:val="28"/>
      </w:rPr>
      <w:t>www.smocr.cz</w:t>
    </w:r>
    <w:r w:rsidRPr="00660E0C">
      <w:rPr>
        <w:rFonts w:ascii="Futura T OT" w:hAnsi="Futura T OT"/>
        <w:b/>
        <w:bCs/>
        <w:sz w:val="28"/>
        <w:szCs w:val="28"/>
      </w:rPr>
      <w:tab/>
    </w:r>
    <w:r w:rsidRPr="00660E0C">
      <w:rPr>
        <w:rFonts w:ascii="Futura T OT" w:hAnsi="Futura T OT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3D2C" w14:textId="77777777" w:rsidR="00213094" w:rsidRDefault="00213094" w:rsidP="005D5509">
      <w:pPr>
        <w:spacing w:after="0" w:line="240" w:lineRule="auto"/>
      </w:pPr>
      <w:r>
        <w:separator/>
      </w:r>
    </w:p>
  </w:footnote>
  <w:footnote w:type="continuationSeparator" w:id="0">
    <w:p w14:paraId="78D0636A" w14:textId="77777777" w:rsidR="00213094" w:rsidRDefault="00213094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0A87" w14:textId="5307E1F8" w:rsidR="005D5509" w:rsidRDefault="00660E0C">
    <w:pPr>
      <w:pStyle w:val="Zhlav"/>
    </w:pPr>
    <w:r>
      <w:rPr>
        <w:noProof/>
      </w:rPr>
      <w:drawing>
        <wp:inline distT="0" distB="0" distL="0" distR="0" wp14:anchorId="2EEEC55B" wp14:editId="1915F8D8">
          <wp:extent cx="1362075" cy="6021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A771" w14:textId="77777777" w:rsidR="009312B7" w:rsidRDefault="00660E0C">
    <w:pPr>
      <w:pStyle w:val="Zhlav"/>
    </w:pPr>
    <w:r>
      <w:rPr>
        <w:noProof/>
      </w:rPr>
      <w:drawing>
        <wp:inline distT="0" distB="0" distL="0" distR="0" wp14:anchorId="7AF84690" wp14:editId="21B80930">
          <wp:extent cx="1362075" cy="6021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BBB"/>
    <w:multiLevelType w:val="hybridMultilevel"/>
    <w:tmpl w:val="28D8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281"/>
    <w:multiLevelType w:val="hybridMultilevel"/>
    <w:tmpl w:val="9ACAD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B5F"/>
    <w:multiLevelType w:val="hybridMultilevel"/>
    <w:tmpl w:val="A9C8EFD8"/>
    <w:lvl w:ilvl="0" w:tplc="B28C5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0F6C"/>
    <w:multiLevelType w:val="hybridMultilevel"/>
    <w:tmpl w:val="7354C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70FD"/>
    <w:multiLevelType w:val="hybridMultilevel"/>
    <w:tmpl w:val="6BBEB44C"/>
    <w:lvl w:ilvl="0" w:tplc="1D42F4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A311B"/>
    <w:multiLevelType w:val="hybridMultilevel"/>
    <w:tmpl w:val="19D2E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607">
    <w:abstractNumId w:val="3"/>
  </w:num>
  <w:num w:numId="2" w16cid:durableId="248655535">
    <w:abstractNumId w:val="4"/>
  </w:num>
  <w:num w:numId="3" w16cid:durableId="241179359">
    <w:abstractNumId w:val="7"/>
  </w:num>
  <w:num w:numId="4" w16cid:durableId="838079080">
    <w:abstractNumId w:val="6"/>
  </w:num>
  <w:num w:numId="5" w16cid:durableId="436487715">
    <w:abstractNumId w:val="2"/>
  </w:num>
  <w:num w:numId="6" w16cid:durableId="2029092712">
    <w:abstractNumId w:val="0"/>
  </w:num>
  <w:num w:numId="7" w16cid:durableId="1822116909">
    <w:abstractNumId w:val="1"/>
  </w:num>
  <w:num w:numId="8" w16cid:durableId="417408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17205"/>
    <w:rsid w:val="00020B57"/>
    <w:rsid w:val="00024864"/>
    <w:rsid w:val="000273C5"/>
    <w:rsid w:val="0007130F"/>
    <w:rsid w:val="00073B1B"/>
    <w:rsid w:val="00080169"/>
    <w:rsid w:val="0008701E"/>
    <w:rsid w:val="000A469A"/>
    <w:rsid w:val="000B194A"/>
    <w:rsid w:val="000C1E6E"/>
    <w:rsid w:val="000D2522"/>
    <w:rsid w:val="000D6E1D"/>
    <w:rsid w:val="000D78C2"/>
    <w:rsid w:val="000F72B5"/>
    <w:rsid w:val="001026FD"/>
    <w:rsid w:val="00122E75"/>
    <w:rsid w:val="0013322B"/>
    <w:rsid w:val="00145B93"/>
    <w:rsid w:val="00174781"/>
    <w:rsid w:val="00176ECC"/>
    <w:rsid w:val="00184F93"/>
    <w:rsid w:val="0019498F"/>
    <w:rsid w:val="001B0599"/>
    <w:rsid w:val="001B366E"/>
    <w:rsid w:val="001F034F"/>
    <w:rsid w:val="00213094"/>
    <w:rsid w:val="002131EF"/>
    <w:rsid w:val="00241E90"/>
    <w:rsid w:val="002545A1"/>
    <w:rsid w:val="00255C1F"/>
    <w:rsid w:val="00256C61"/>
    <w:rsid w:val="00275A6E"/>
    <w:rsid w:val="00287DFB"/>
    <w:rsid w:val="002B00DB"/>
    <w:rsid w:val="002B6AB1"/>
    <w:rsid w:val="002B6F51"/>
    <w:rsid w:val="002C5D94"/>
    <w:rsid w:val="002D7653"/>
    <w:rsid w:val="002E408F"/>
    <w:rsid w:val="002E6301"/>
    <w:rsid w:val="002F4C3D"/>
    <w:rsid w:val="00310B50"/>
    <w:rsid w:val="00326BE6"/>
    <w:rsid w:val="00336EDA"/>
    <w:rsid w:val="00346156"/>
    <w:rsid w:val="00357CC2"/>
    <w:rsid w:val="003A4EF3"/>
    <w:rsid w:val="003A5AE9"/>
    <w:rsid w:val="003A5DAE"/>
    <w:rsid w:val="003C02C5"/>
    <w:rsid w:val="003F09C6"/>
    <w:rsid w:val="004034A8"/>
    <w:rsid w:val="00405298"/>
    <w:rsid w:val="00410AE1"/>
    <w:rsid w:val="004259E2"/>
    <w:rsid w:val="00425FD3"/>
    <w:rsid w:val="0045115C"/>
    <w:rsid w:val="004622AF"/>
    <w:rsid w:val="004758C1"/>
    <w:rsid w:val="004A2ABB"/>
    <w:rsid w:val="004B4160"/>
    <w:rsid w:val="004B7F0A"/>
    <w:rsid w:val="004C0428"/>
    <w:rsid w:val="004D1662"/>
    <w:rsid w:val="004D4570"/>
    <w:rsid w:val="00505947"/>
    <w:rsid w:val="005104A8"/>
    <w:rsid w:val="00515B97"/>
    <w:rsid w:val="00521A02"/>
    <w:rsid w:val="00536EC5"/>
    <w:rsid w:val="005448E7"/>
    <w:rsid w:val="00554AF4"/>
    <w:rsid w:val="0057074E"/>
    <w:rsid w:val="00571B42"/>
    <w:rsid w:val="0058082B"/>
    <w:rsid w:val="00582B6E"/>
    <w:rsid w:val="005A72C1"/>
    <w:rsid w:val="005B361B"/>
    <w:rsid w:val="005C76E1"/>
    <w:rsid w:val="005C7CA5"/>
    <w:rsid w:val="005D5353"/>
    <w:rsid w:val="005D5509"/>
    <w:rsid w:val="005E3FCC"/>
    <w:rsid w:val="005F551F"/>
    <w:rsid w:val="006273F7"/>
    <w:rsid w:val="00631493"/>
    <w:rsid w:val="0063651E"/>
    <w:rsid w:val="00650161"/>
    <w:rsid w:val="0065067D"/>
    <w:rsid w:val="00660E0C"/>
    <w:rsid w:val="00664304"/>
    <w:rsid w:val="006A485C"/>
    <w:rsid w:val="006B4C0F"/>
    <w:rsid w:val="0071461D"/>
    <w:rsid w:val="0074472F"/>
    <w:rsid w:val="00780482"/>
    <w:rsid w:val="007933BC"/>
    <w:rsid w:val="007A5804"/>
    <w:rsid w:val="007B44E0"/>
    <w:rsid w:val="007B52F4"/>
    <w:rsid w:val="007C1439"/>
    <w:rsid w:val="00807C7D"/>
    <w:rsid w:val="0081689E"/>
    <w:rsid w:val="00820477"/>
    <w:rsid w:val="008207CC"/>
    <w:rsid w:val="00823C4A"/>
    <w:rsid w:val="008248E6"/>
    <w:rsid w:val="00864798"/>
    <w:rsid w:val="00865FDA"/>
    <w:rsid w:val="008671F6"/>
    <w:rsid w:val="00871032"/>
    <w:rsid w:val="008A0B2C"/>
    <w:rsid w:val="008C0E23"/>
    <w:rsid w:val="008D1D95"/>
    <w:rsid w:val="008D3D20"/>
    <w:rsid w:val="008E6069"/>
    <w:rsid w:val="00922E29"/>
    <w:rsid w:val="009312B7"/>
    <w:rsid w:val="0093255B"/>
    <w:rsid w:val="00936D1F"/>
    <w:rsid w:val="009378AE"/>
    <w:rsid w:val="00963FD2"/>
    <w:rsid w:val="009673E0"/>
    <w:rsid w:val="00980E2A"/>
    <w:rsid w:val="009857D7"/>
    <w:rsid w:val="009970AB"/>
    <w:rsid w:val="009C3968"/>
    <w:rsid w:val="009C75B1"/>
    <w:rsid w:val="009D0E1D"/>
    <w:rsid w:val="009F6507"/>
    <w:rsid w:val="00A031DC"/>
    <w:rsid w:val="00A04AF8"/>
    <w:rsid w:val="00A20E1D"/>
    <w:rsid w:val="00A26D18"/>
    <w:rsid w:val="00A61A38"/>
    <w:rsid w:val="00A66A65"/>
    <w:rsid w:val="00A8238F"/>
    <w:rsid w:val="00A91EDF"/>
    <w:rsid w:val="00AB539E"/>
    <w:rsid w:val="00AC0033"/>
    <w:rsid w:val="00AC129B"/>
    <w:rsid w:val="00AF46A2"/>
    <w:rsid w:val="00AF5C1A"/>
    <w:rsid w:val="00AF5DE4"/>
    <w:rsid w:val="00B00219"/>
    <w:rsid w:val="00B04968"/>
    <w:rsid w:val="00B14402"/>
    <w:rsid w:val="00B16AD8"/>
    <w:rsid w:val="00B23FBD"/>
    <w:rsid w:val="00B3352D"/>
    <w:rsid w:val="00B35241"/>
    <w:rsid w:val="00B452F6"/>
    <w:rsid w:val="00B718B9"/>
    <w:rsid w:val="00B74B13"/>
    <w:rsid w:val="00B76E42"/>
    <w:rsid w:val="00B823F5"/>
    <w:rsid w:val="00B82714"/>
    <w:rsid w:val="00BB44D9"/>
    <w:rsid w:val="00BB7C06"/>
    <w:rsid w:val="00BE116D"/>
    <w:rsid w:val="00BF4D73"/>
    <w:rsid w:val="00BF7FBC"/>
    <w:rsid w:val="00C01FDA"/>
    <w:rsid w:val="00C1124C"/>
    <w:rsid w:val="00C24D7A"/>
    <w:rsid w:val="00C55925"/>
    <w:rsid w:val="00C622D5"/>
    <w:rsid w:val="00C76F7D"/>
    <w:rsid w:val="00C911D0"/>
    <w:rsid w:val="00CA0A3C"/>
    <w:rsid w:val="00CA5841"/>
    <w:rsid w:val="00CA6AAC"/>
    <w:rsid w:val="00CA758F"/>
    <w:rsid w:val="00CB684A"/>
    <w:rsid w:val="00CD3B6D"/>
    <w:rsid w:val="00CE3339"/>
    <w:rsid w:val="00CF17CC"/>
    <w:rsid w:val="00D10E73"/>
    <w:rsid w:val="00D241B3"/>
    <w:rsid w:val="00D25506"/>
    <w:rsid w:val="00D3592E"/>
    <w:rsid w:val="00D71246"/>
    <w:rsid w:val="00D75922"/>
    <w:rsid w:val="00D8311C"/>
    <w:rsid w:val="00D874F6"/>
    <w:rsid w:val="00DA3076"/>
    <w:rsid w:val="00DA5291"/>
    <w:rsid w:val="00DB0C80"/>
    <w:rsid w:val="00DB1213"/>
    <w:rsid w:val="00DC5985"/>
    <w:rsid w:val="00DD4E84"/>
    <w:rsid w:val="00DD544A"/>
    <w:rsid w:val="00DE439D"/>
    <w:rsid w:val="00DF4F7C"/>
    <w:rsid w:val="00DF69E1"/>
    <w:rsid w:val="00E04208"/>
    <w:rsid w:val="00E06CDD"/>
    <w:rsid w:val="00E36154"/>
    <w:rsid w:val="00E468A7"/>
    <w:rsid w:val="00E74376"/>
    <w:rsid w:val="00EA46E4"/>
    <w:rsid w:val="00EA63DD"/>
    <w:rsid w:val="00EC2C5B"/>
    <w:rsid w:val="00EC5DDD"/>
    <w:rsid w:val="00ED3CAB"/>
    <w:rsid w:val="00EF0002"/>
    <w:rsid w:val="00EF35CB"/>
    <w:rsid w:val="00F149D8"/>
    <w:rsid w:val="00F163E6"/>
    <w:rsid w:val="00F22AE5"/>
    <w:rsid w:val="00F51359"/>
    <w:rsid w:val="00F55750"/>
    <w:rsid w:val="00F566EE"/>
    <w:rsid w:val="00F80E8F"/>
    <w:rsid w:val="00F95368"/>
    <w:rsid w:val="00FC3C08"/>
    <w:rsid w:val="00FE34CC"/>
    <w:rsid w:val="00FF4A67"/>
    <w:rsid w:val="00FF6299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0CAC8"/>
  <w15:chartTrackingRefBased/>
  <w15:docId w15:val="{6115F129-55C1-4107-80E8-C8838FF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Betreff">
    <w:name w:val="Betreff"/>
    <w:rsid w:val="00C1124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88" w:lineRule="auto"/>
    </w:pPr>
    <w:rPr>
      <w:rFonts w:ascii="Arial" w:eastAsia="Arial" w:hAnsi="Arial" w:cs="Arial"/>
      <w:b/>
      <w:bCs/>
      <w:i/>
      <w:iCs/>
      <w:color w:val="00000A"/>
      <w:u w:color="00000A"/>
      <w:bdr w:val="nil"/>
      <w:lang w:val="de-DE" w:eastAsia="cs-CZ"/>
    </w:rPr>
  </w:style>
  <w:style w:type="character" w:customStyle="1" w:styleId="value">
    <w:name w:val="value"/>
    <w:basedOn w:val="Standardnpsmoodstavce"/>
    <w:rsid w:val="00C911D0"/>
  </w:style>
  <w:style w:type="paragraph" w:styleId="Revize">
    <w:name w:val="Revision"/>
    <w:hidden/>
    <w:uiPriority w:val="99"/>
    <w:semiHidden/>
    <w:rsid w:val="00631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Mottlová Ivona</cp:lastModifiedBy>
  <cp:revision>28</cp:revision>
  <cp:lastPrinted>2020-10-01T14:14:00Z</cp:lastPrinted>
  <dcterms:created xsi:type="dcterms:W3CDTF">2022-10-18T05:52:00Z</dcterms:created>
  <dcterms:modified xsi:type="dcterms:W3CDTF">2022-10-18T06:15:00Z</dcterms:modified>
</cp:coreProperties>
</file>