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D74E" w14:textId="77777777" w:rsidR="00404A60" w:rsidRPr="00404A60" w:rsidRDefault="00404A60" w:rsidP="00404A60">
      <w:pPr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Bližšie informácie a prezentácie z workhopu „Energetická efektívnosť v samospráve“</w:t>
      </w:r>
    </w:p>
    <w:p w14:paraId="229B7F6A" w14:textId="77777777" w:rsidR="00404A60" w:rsidRPr="00404A60" w:rsidRDefault="00404A60" w:rsidP="00404A60">
      <w:pPr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Pápa, 11. – 12. júla 2022</w:t>
      </w:r>
    </w:p>
    <w:p w14:paraId="4273C233" w14:textId="77777777" w:rsidR="00404A60" w:rsidRPr="00404A60" w:rsidRDefault="00404A60" w:rsidP="00404A60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DEDFD4F" w14:textId="55AE9785" w:rsidR="00404A60" w:rsidRPr="00404A60" w:rsidRDefault="00404A60" w:rsidP="00404A60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Začiatok workshopu patril privítaniu zo strany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primátora mesta Pápa a podpredsedu Maďarského národného združenia miestnych samospráv Tamásovi Áldozóvi</w:t>
      </w:r>
      <w:r w:rsidRPr="00404A60">
        <w:rPr>
          <w:rFonts w:ascii="Arial" w:hAnsi="Arial" w:cs="Arial"/>
          <w:sz w:val="22"/>
          <w:szCs w:val="22"/>
          <w:lang w:val="sk-SK"/>
        </w:rPr>
        <w:t>, ktorý privítal účastníkov v meste Pápa. V krátkosti predstavil mesto, v ktorom žije viac ako 30 tisíc obyvateľov. Mesto je sídlom medzinárodného letiska NATO, kde pôsobí 12 medzinárodných delegáci</w:t>
      </w:r>
      <w:r w:rsidR="00C743E5">
        <w:rPr>
          <w:rFonts w:ascii="Arial" w:hAnsi="Arial" w:cs="Arial"/>
          <w:sz w:val="22"/>
          <w:szCs w:val="22"/>
          <w:lang w:val="sk-SK"/>
        </w:rPr>
        <w:t>í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 členských krajín NATO a v meste sa nachádza aj najväčšia eurofondová brownfieldová investícia „Športové centrum“. </w:t>
      </w:r>
    </w:p>
    <w:p w14:paraId="5E1BB749" w14:textId="77777777" w:rsidR="00404A60" w:rsidRPr="00404A60" w:rsidRDefault="00404A60" w:rsidP="00404A60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Za slovenskú stranu úvodné slovo patrilo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ústrednému riaditeľovi Kancelárie ZMOS Michalovi Kaliňákovi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, ktorý predstavil projekt a zároveň poznamenal, že túto prvú projektovú aktivitu realizujeme v čase, kedy V4 predsedá Slovenská republika (jún  - december 2022). Na rozdiel politických aktivít na národnej úrovne, týmto podujatím a našimi aktivitami dávame reálne strategické smerovaniu formátu V4 na miestnej úrovni. </w:t>
      </w:r>
    </w:p>
    <w:p w14:paraId="68534176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</w:p>
    <w:p w14:paraId="5D0332D1" w14:textId="77777777" w:rsidR="00404A60" w:rsidRPr="00404A60" w:rsidRDefault="00404A60" w:rsidP="00C743E5">
      <w:pPr>
        <w:jc w:val="both"/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</w:pPr>
      <w:r w:rsidRPr="00404A60"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  <w:t>Prezentácia 1: Osvedčené postupy a iniciatívy pre efektívne a zelené komunálne energetické riešenia v krajinách dunajského regiónu</w:t>
      </w:r>
    </w:p>
    <w:p w14:paraId="5EC16BCB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u w:val="single"/>
          <w:lang w:val="sk-SK"/>
        </w:rPr>
      </w:pPr>
    </w:p>
    <w:p w14:paraId="3D512BDB" w14:textId="77777777" w:rsidR="00404A60" w:rsidRPr="00404A60" w:rsidRDefault="00404A60" w:rsidP="00C743E5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Možnosti riešenia energetickej efektívnosti na miestnej úrovni aktérov z dunajského regiónu v rámci nadnárodného konzorcia predstavila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koordinátorka prioritnej oblasti stratégie Dunajského regiónu „Udržateľná energia“ Ministerstva zahraničných vecí a obchodu (HU) Annamária Nádor</w:t>
      </w:r>
      <w:r w:rsidRPr="00404A60">
        <w:rPr>
          <w:rFonts w:ascii="Arial" w:hAnsi="Arial" w:cs="Arial"/>
          <w:sz w:val="22"/>
          <w:szCs w:val="22"/>
          <w:lang w:val="sk-SK"/>
        </w:rPr>
        <w:t>. Vo svojom vystúpení sa venovala:</w:t>
      </w:r>
    </w:p>
    <w:p w14:paraId="6E0C339E" w14:textId="77777777" w:rsidR="00404A60" w:rsidRPr="00404A60" w:rsidRDefault="00404A60" w:rsidP="00C743E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Stratégii EÚ pre dunajský región</w:t>
      </w:r>
    </w:p>
    <w:p w14:paraId="6525240A" w14:textId="77777777" w:rsidR="00404A60" w:rsidRPr="00404A60" w:rsidRDefault="00404A60" w:rsidP="00C743E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Projektu z programu Horizont na získanie „Európskeho energetického certifikátu“</w:t>
      </w:r>
    </w:p>
    <w:p w14:paraId="5CE48659" w14:textId="77777777" w:rsidR="00404A60" w:rsidRPr="00404A60" w:rsidRDefault="00404A60" w:rsidP="00C743E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Dunajskému nadnárodnému programu 2021-2027</w:t>
      </w:r>
    </w:p>
    <w:p w14:paraId="4602E1B1" w14:textId="77777777" w:rsidR="00404A60" w:rsidRPr="00404A60" w:rsidRDefault="00404A60" w:rsidP="00C743E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Nástroju „European City Facility“.</w:t>
      </w:r>
    </w:p>
    <w:p w14:paraId="77992993" w14:textId="77777777" w:rsidR="00404A60" w:rsidRPr="00404A60" w:rsidRDefault="00404A60" w:rsidP="00C743E5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Stratégia EÚ pre dunajský región</w:t>
      </w:r>
    </w:p>
    <w:p w14:paraId="49DCEA48" w14:textId="77777777" w:rsidR="00404A60" w:rsidRPr="00404A60" w:rsidRDefault="00404A60" w:rsidP="00C743E5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Stratégia EÚ pre dunajský región je jednou za štyroch makroregionálnych stratégii EÚ. Nie je finančným nástrojom a rámcom na spoluprácu rôznych subjektov z krajín, ktoré spadajú do tohto regiónu:</w:t>
      </w:r>
    </w:p>
    <w:p w14:paraId="3B14ABFD" w14:textId="77777777" w:rsidR="00404A60" w:rsidRPr="00404A60" w:rsidRDefault="00404A60" w:rsidP="00C743E5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členské krajiny EÚ (9): Rakúsko, Bulharsko, Chorvátsko, Nemecko, Maďarsko, Rumunsko, Slovensko, Slovinsko </w:t>
      </w:r>
    </w:p>
    <w:p w14:paraId="2316EEF7" w14:textId="66FCB83F" w:rsidR="00404A60" w:rsidRPr="00404A60" w:rsidRDefault="00404A60" w:rsidP="00C743E5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krajiny čakajúce na vstup (3): Bosna a</w:t>
      </w:r>
      <w:r w:rsidR="00C743E5">
        <w:rPr>
          <w:rFonts w:ascii="Arial" w:hAnsi="Arial" w:cs="Arial"/>
          <w:lang w:val="sk-SK"/>
        </w:rPr>
        <w:t xml:space="preserve"> </w:t>
      </w:r>
      <w:r w:rsidRPr="00404A60">
        <w:rPr>
          <w:rFonts w:ascii="Arial" w:hAnsi="Arial" w:cs="Arial"/>
          <w:lang w:val="sk-SK"/>
        </w:rPr>
        <w:t>Hercegovina, Čierna hora, Srbsko</w:t>
      </w:r>
    </w:p>
    <w:p w14:paraId="41DA3C58" w14:textId="77777777" w:rsidR="00404A60" w:rsidRPr="00404A60" w:rsidRDefault="00404A60" w:rsidP="00C743E5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susedné krajiny (2): Moldavsko, Ukrajina</w:t>
      </w:r>
    </w:p>
    <w:p w14:paraId="6C49C1CD" w14:textId="77777777" w:rsidR="00404A60" w:rsidRPr="00404A60" w:rsidRDefault="00404A60" w:rsidP="00C743E5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Jednou z deviatich oblastí, v ktorej môžu subjekty, teda aj miestne samosprávy spolupracovať je oblasť trvalo udržateľnej energie. Dunajská stratégia vytvára priestor na synergiu, koordináciu medzi existujúcimi politikami, nástrojmi financovania a iniciatívami, ktoré sa uskutočňujú v danom makroregióne. V oblasti tvrvalo udržateľnej energetickej efektívnosti sa dôležitými témami v poslednom období stali:</w:t>
      </w:r>
    </w:p>
    <w:p w14:paraId="649CBA66" w14:textId="77777777" w:rsidR="00404A60" w:rsidRPr="00404A60" w:rsidRDefault="00404A60" w:rsidP="00C743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Obnoviteľné zdroje vykurovania a chladenia (geotermia), ekologizácia diaľkového vykurovania, energetická efektívnosť budov.</w:t>
      </w:r>
    </w:p>
    <w:p w14:paraId="6BA7CEAB" w14:textId="77777777" w:rsidR="00404A60" w:rsidRPr="00404A60" w:rsidRDefault="00404A60" w:rsidP="00C743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Analýzy trhu s plynom (nezávislosť od dovozu ruského plynu).</w:t>
      </w:r>
    </w:p>
    <w:p w14:paraId="1FB05A61" w14:textId="77777777" w:rsidR="00404A60" w:rsidRPr="00404A60" w:rsidRDefault="00404A60" w:rsidP="00C743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Energetické vodíkové zásobniky.</w:t>
      </w:r>
    </w:p>
    <w:p w14:paraId="4B87F036" w14:textId="77777777" w:rsidR="00404A60" w:rsidRPr="00404A60" w:rsidRDefault="00404A60" w:rsidP="00C743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Dopravná ekologizácia.</w:t>
      </w:r>
    </w:p>
    <w:p w14:paraId="39173191" w14:textId="77777777" w:rsidR="00404A60" w:rsidRPr="00404A60" w:rsidRDefault="00404A60" w:rsidP="00C743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Komplexná regionálna analýza národných energetických a klimatických plánov (NECP).</w:t>
      </w:r>
    </w:p>
    <w:p w14:paraId="49D55B5F" w14:textId="20DBCE4B" w:rsidR="00404A60" w:rsidRPr="00404A60" w:rsidRDefault="00404A60" w:rsidP="00404A6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Nová téma: podpora energeticky uvedomelých komunít</w:t>
      </w:r>
    </w:p>
    <w:p w14:paraId="191F213B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</w:rPr>
      </w:pPr>
      <w:r w:rsidRPr="00404A60">
        <w:rPr>
          <w:rFonts w:ascii="Arial" w:hAnsi="Arial" w:cs="Arial"/>
          <w:sz w:val="22"/>
          <w:szCs w:val="22"/>
          <w:lang w:val="sk-SK"/>
        </w:rPr>
        <w:t>Makroregionálna stratégia môže byť podporovaná z rôznych zdrojov, aj z EŠIF.</w:t>
      </w:r>
    </w:p>
    <w:p w14:paraId="5A4AA67B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2BBBDEDB" w14:textId="77777777" w:rsidR="00C743E5" w:rsidRDefault="00C743E5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CE1928C" w14:textId="25F7BA89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lastRenderedPageBreak/>
        <w:t>Európsky energetický certifikát (European Energy Award  - EEA)</w:t>
      </w:r>
    </w:p>
    <w:p w14:paraId="74C00B34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Ide o aktvitu preprípravného projektu z programu Horizint, ktorého lídrom bolo Bádensko-Württembersko. </w:t>
      </w:r>
    </w:p>
    <w:p w14:paraId="067ABDF5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Projekt v rámci aktivity vytvoril  program energetického systému v obciach zameraný na vypracovanie cieľov v energetickej efektívnosti formou jednotnej metodiky a zabezpečenia poradcu pre obce - vytvorenie energetického tímu v miestnej samospráve. Pokiaľ obec bude úspešná, získa Európsky energetický certifikát. Držiteľom takýchto certifikátov sú už samosprávy v Nemecku a Rakúsku. Súčasťou tohto programu nie sú krajiny: Slovensko, Maďarsko a Česko. Stať súčasťou tohto programu pre krajinu znamená mať vytvorený systém auditu. </w:t>
      </w:r>
    </w:p>
    <w:p w14:paraId="2DD6216B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Program „komplexného systému manažérstva kvality“ pomáha obciam rozvíjať a efektívne implementovať energetické ciele v oblasti rozvoj a územného plánovania, verejných budov a zariadení, zásobovania a likvidácie, mobility, vnútornej organizácii a komunikácii a spolupráce.</w:t>
      </w:r>
    </w:p>
    <w:p w14:paraId="0ACCCF4E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EEA je manažérstvo kvality a certifikačný systém pre obce, ktoré sa zaviazali k udržateľnej energetickej, klimatickej a dopravnej politike. Od mobility po komunikáciu a spolupráce, od územného plánovania po zásobovanie energiou. EEA predstavuje najkomplexnejší systém manažérstva kvality pre obce v oblasti energetickej efektívnosti, keďže zahŕňa plný rad osvedčených opatrení v oblasti energetiky a ochrany klímy v obciach.</w:t>
      </w:r>
    </w:p>
    <w:p w14:paraId="3266FAB8" w14:textId="2D5AA083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O vstup do programu môže požiadať ktorákoľvek krajina. Predpokladom pre vstup do programu je vybudovania národného programového operátora a národného systému auditu (aplikácia EEA toolkitu, budovanie EEA poradenskej siete, atď.) Medzinárodná organizácia EEA poskytuje aktívnu podporu</w:t>
      </w:r>
      <w:r w:rsidR="00EA3F84">
        <w:rPr>
          <w:rFonts w:ascii="Arial" w:hAnsi="Arial" w:cs="Arial"/>
          <w:sz w:val="22"/>
          <w:szCs w:val="22"/>
          <w:lang w:val="sk-SK"/>
        </w:rPr>
        <w:t xml:space="preserve">. </w:t>
      </w:r>
      <w:r w:rsidRPr="00404A60">
        <w:rPr>
          <w:rFonts w:ascii="Arial" w:hAnsi="Arial" w:cs="Arial"/>
          <w:sz w:val="22"/>
          <w:szCs w:val="22"/>
          <w:lang w:val="sk-SK"/>
        </w:rPr>
        <w:t>V prípade národného rámca môže proces EEA iniciovať ktorákoľvek obec</w:t>
      </w:r>
      <w:r w:rsidR="00EA3F84">
        <w:rPr>
          <w:rFonts w:ascii="Arial" w:hAnsi="Arial" w:cs="Arial"/>
          <w:sz w:val="22"/>
          <w:szCs w:val="22"/>
          <w:lang w:val="sk-SK"/>
        </w:rPr>
        <w:t>.</w:t>
      </w:r>
    </w:p>
    <w:p w14:paraId="33AD2DE6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Výhody EEA:</w:t>
      </w:r>
    </w:p>
    <w:p w14:paraId="15C6AE38" w14:textId="77777777" w:rsidR="00404A60" w:rsidRPr="00404A60" w:rsidRDefault="00404A60" w:rsidP="00404A6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hotová jednotná a medzinárodná metodika + konzultačná asistencia počas celého procesu;</w:t>
      </w:r>
    </w:p>
    <w:p w14:paraId="02164FC6" w14:textId="77777777" w:rsidR="00404A60" w:rsidRPr="00404A60" w:rsidRDefault="00404A60" w:rsidP="00404A6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jednoduchšie prepojenie na iné iniciatívy – napr. Dohovor primátorov a starostov, projekty Smart City atď.;</w:t>
      </w:r>
    </w:p>
    <w:p w14:paraId="2CFEFF9A" w14:textId="77777777" w:rsidR="00404A60" w:rsidRPr="00404A60" w:rsidRDefault="00404A60" w:rsidP="00404A6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404A60">
        <w:rPr>
          <w:rFonts w:ascii="Arial" w:hAnsi="Arial" w:cs="Arial"/>
          <w:lang w:val="sk-SK"/>
        </w:rPr>
        <w:t>harmonizácia noriem ISO.</w:t>
      </w:r>
    </w:p>
    <w:p w14:paraId="383A278E" w14:textId="77777777" w:rsidR="00404A60" w:rsidRPr="00404A60" w:rsidRDefault="00404A60" w:rsidP="00404A60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F3F0CFB" w14:textId="133D783B" w:rsidR="00404A60" w:rsidRPr="00404A60" w:rsidRDefault="00404A60" w:rsidP="00404A60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Dunajský nadnárodný program 2021-2027</w:t>
      </w:r>
    </w:p>
    <w:p w14:paraId="50E1AD09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 rámci nadnárodného programu európskej územnej samosprávy Interreg Dunajský nadnárodný program 2021-2027 môžu samosprávy riešiť výzvy energetickej efektívnosti v nadnárodnom konzorciu v priorite 2 (Zelenší nízkouhlíkový dunajský región), 2.1 (Podpora obnoviteľných zdrojov energie) - Rozšírenie uhlíkovo neutrálnych / energeticky efektívnych sídel v dunajskom regióne.</w:t>
      </w:r>
    </w:p>
    <w:p w14:paraId="7CB8006B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Do projektu môžu samosprávy vstúpiť ako vedúci projektový partner (lead partner) alebo ako projektový partner. Na predloženie projektovej žiadosti sú potrební minimálne traja partneri z troch krajín. Program podporuje tieto aktivity: nadnárodné stratégie, akčné plány, metodiky, osvedčené postupy, budovanie sietí atď.</w:t>
      </w:r>
    </w:p>
    <w:p w14:paraId="39F4F405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Európska komisia spolufinancuje nadnárodné projekty Interrege vo výšle 80%.</w:t>
      </w:r>
    </w:p>
    <w:p w14:paraId="05423412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Národné spolufinancovanie:</w:t>
      </w:r>
    </w:p>
    <w:p w14:paraId="57D43841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Programy nadnárodnej spoluprace Interreg (Interreg Danube Region Programme 2021-2027 a Interreg Central Europe 2021-2027) sú spolufinancované zo štátneho rozpočtu na základe Stratégie financovania EFRR, ESF+, KF, FST a ENRAF na programové obdobie 2021 - 2027.</w:t>
      </w:r>
      <w:r w:rsidRPr="00404A60">
        <w:rPr>
          <w:rFonts w:ascii="Arial" w:hAnsi="Arial" w:cs="Arial"/>
          <w:sz w:val="22"/>
          <w:szCs w:val="22"/>
          <w:lang w:val="sk-SK"/>
        </w:rPr>
        <w:br/>
        <w:t>Jednotlivé subjekty získajú národné spolufinancovanie vo výške:</w:t>
      </w:r>
    </w:p>
    <w:p w14:paraId="037F0BC7" w14:textId="77777777" w:rsidR="00404A60" w:rsidRPr="00404A60" w:rsidRDefault="00404A60" w:rsidP="00404A6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Vybrané subjekty štátnej správy - 20 %</w:t>
      </w:r>
    </w:p>
    <w:p w14:paraId="3BF395EE" w14:textId="77777777" w:rsidR="00404A60" w:rsidRPr="00404A60" w:rsidRDefault="00404A60" w:rsidP="00404A6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Ostatné subjekty mimo schém štátnej pomoci a pomoci de minimis - 12 %</w:t>
      </w:r>
    </w:p>
    <w:p w14:paraId="0ACB8DA0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Pre ďalšie informácie kontaktujte </w:t>
      </w:r>
      <w:hyperlink r:id="rId7" w:history="1">
        <w:r w:rsidRPr="00404A60">
          <w:rPr>
            <w:rStyle w:val="Hyperlink"/>
            <w:rFonts w:ascii="Arial" w:eastAsiaTheme="majorEastAsia" w:hAnsi="Arial" w:cs="Arial"/>
            <w:sz w:val="22"/>
            <w:szCs w:val="22"/>
            <w:lang w:val="sk-SK"/>
          </w:rPr>
          <w:t>národný kontaktný bod</w:t>
        </w:r>
      </w:hyperlink>
      <w:r w:rsidRPr="00404A60">
        <w:rPr>
          <w:rFonts w:ascii="Arial" w:hAnsi="Arial" w:cs="Arial"/>
          <w:sz w:val="22"/>
          <w:szCs w:val="22"/>
          <w:lang w:val="sk-SK"/>
        </w:rPr>
        <w:t xml:space="preserve"> pre SR.</w:t>
      </w:r>
    </w:p>
    <w:p w14:paraId="3E04F583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</w:p>
    <w:p w14:paraId="5F4B79E1" w14:textId="77777777" w:rsidR="00404A60" w:rsidRPr="00404A60" w:rsidRDefault="00404A60" w:rsidP="00404A60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Nástroj „European City Facility“</w:t>
      </w:r>
    </w:p>
    <w:p w14:paraId="6D8F9E07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Európsky nástroj pre mestá poskytuje granty pre samosprávu na podporu udržateľnej energie, napríklad vypracúvanie investičných plánov, analýz a štúdií uskutočniteľnosti.</w:t>
      </w:r>
    </w:p>
    <w:p w14:paraId="39AE64F6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lastRenderedPageBreak/>
        <w:t>Výzva je otvorená do 30. septembra 2022 a fixnou dotáciou do 60 000 eur podporuje miestne samosprávy pri vypracovaní investičných koncepcií.</w:t>
      </w:r>
    </w:p>
    <w:p w14:paraId="5F889FE6" w14:textId="345FF464" w:rsidR="00443AF9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Ďalšie informácie o tomto finančnom nástroji sa dočítate aj na </w:t>
      </w:r>
      <w:hyperlink r:id="rId8" w:anchor="m_405616" w:history="1">
        <w:r w:rsidRPr="00404A60">
          <w:rPr>
            <w:rStyle w:val="Hyperlink"/>
            <w:rFonts w:ascii="Arial" w:eastAsiaTheme="majorEastAsia" w:hAnsi="Arial" w:cs="Arial"/>
            <w:sz w:val="22"/>
            <w:szCs w:val="22"/>
            <w:lang w:val="sk-SK"/>
          </w:rPr>
          <w:t>stránkach ZMOS</w:t>
        </w:r>
      </w:hyperlink>
      <w:r w:rsidRPr="00404A60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602F61F7" w14:textId="77777777" w:rsidR="00443AF9" w:rsidRDefault="00443AF9" w:rsidP="00404A60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0A667358" w14:textId="5C826DF2" w:rsidR="00443AF9" w:rsidRPr="00404A60" w:rsidRDefault="00443AF9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Prezentácia dos</w:t>
      </w:r>
      <w:r w:rsidR="007B1115">
        <w:rPr>
          <w:rFonts w:ascii="Arial" w:hAnsi="Arial" w:cs="Arial"/>
          <w:sz w:val="22"/>
          <w:szCs w:val="22"/>
          <w:lang w:val="sk-SK"/>
        </w:rPr>
        <w:t>t</w:t>
      </w:r>
      <w:r>
        <w:rPr>
          <w:rFonts w:ascii="Arial" w:hAnsi="Arial" w:cs="Arial"/>
          <w:sz w:val="22"/>
          <w:szCs w:val="22"/>
          <w:lang w:val="sk-SK"/>
        </w:rPr>
        <w:t xml:space="preserve">upná </w:t>
      </w:r>
      <w:hyperlink r:id="rId9" w:history="1"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T</w:t>
        </w:r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U</w:t>
        </w:r>
      </w:hyperlink>
      <w:r>
        <w:rPr>
          <w:rFonts w:ascii="Arial" w:hAnsi="Arial" w:cs="Arial"/>
          <w:sz w:val="22"/>
          <w:szCs w:val="22"/>
          <w:lang w:val="sk-SK"/>
        </w:rPr>
        <w:t xml:space="preserve"> (v maďarskom jazyku).</w:t>
      </w:r>
    </w:p>
    <w:p w14:paraId="7F6B6BD3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</w:p>
    <w:p w14:paraId="57147610" w14:textId="77777777" w:rsidR="00404A60" w:rsidRPr="00404A60" w:rsidRDefault="00404A60" w:rsidP="00404A60">
      <w:pPr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404A60"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  <w:t xml:space="preserve">Prezentácia 2: Využívanie geotermálnej energie v meste Galanta </w:t>
      </w:r>
    </w:p>
    <w:p w14:paraId="470219C1" w14:textId="77777777" w:rsidR="00404A60" w:rsidRPr="00404A60" w:rsidRDefault="00404A60" w:rsidP="00404A60">
      <w:pPr>
        <w:rPr>
          <w:rFonts w:ascii="Arial" w:hAnsi="Arial" w:cs="Arial"/>
          <w:color w:val="0070C0"/>
          <w:sz w:val="22"/>
          <w:szCs w:val="22"/>
          <w:lang w:val="sk-SK"/>
        </w:rPr>
      </w:pPr>
    </w:p>
    <w:p w14:paraId="36A2E811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Využívanie geotermálnej energie v meste Galanta predstavila slovenska strana v zastúpení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primátorom mesta Galanta Petrom Paškom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 a 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riaditeľom spoločnosti Galantaterm s.r.o. Miklósom Kocskovicsom</w:t>
      </w:r>
      <w:r w:rsidRPr="00404A60">
        <w:rPr>
          <w:rFonts w:ascii="Arial" w:hAnsi="Arial" w:cs="Arial"/>
          <w:sz w:val="22"/>
          <w:szCs w:val="22"/>
          <w:lang w:val="sk-SK"/>
        </w:rPr>
        <w:t>.</w:t>
      </w:r>
    </w:p>
    <w:p w14:paraId="22AD9DAF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Primátor predstavil mesto ako multikultúrne, ktoré s mestom Pápa spája rod Esterházyovcov. V meste žije 30% maďarskej národnostnej menšiny. V meste sa nachádza 6 000 bytov v činžiakoch, z ktorých je 1/3 vykurovaná cez geotermálnu energiu. Zatiaľ čo využívanie geotermálnej energie na Slovensku sa len rozbieha (Košice, Žiar nad Hronom), v meste Galanta boli prvé a posledné vrty zrealizované už v rokoch 1982/1982 a 1984. Problém v rozšírovaní ďalších vrtov tkvie v legislatíve. Zatiaľ čo napríklad v Poľsku sa podnikli veľké kroky k tomu, aby sa zbavili závislosti na zemnom plyne. Geotermálne vrty financujú zo zdrojov EŠIF. Na Slovensku stále čakáme na zmenu legislatívy a sme závislí od európskych výziev. </w:t>
      </w:r>
    </w:p>
    <w:p w14:paraId="7986FD51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Základné údaje</w:t>
      </w:r>
    </w:p>
    <w:p w14:paraId="4AB0F5D9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Za účelom využívania geotermálnej energie ako zdroja tepla vznikla aj spoločnosť Galantaterm</w:t>
      </w:r>
      <w:r w:rsidRPr="00404A60">
        <w:rPr>
          <w:rFonts w:ascii="Arial" w:hAnsi="Arial" w:cs="Arial"/>
          <w:sz w:val="22"/>
          <w:szCs w:val="22"/>
        </w:rPr>
        <w:t xml:space="preserve"> s.r.o.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, ktorej spoluvlastníkom je aj mesto a SPP. Mesto je schopné vykurovať geotermálnym teplom do teploty -2 stupňov Celzia. Pri poklase teploty prechádza na vykurovanie plynovými kotlami. </w:t>
      </w:r>
    </w:p>
    <w:p w14:paraId="01D4758E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Projekt na využívanie geotermálnej vody na energetické účely v meste Galanta bol vypracovaný v roku 1995. Spracovateľom projektu bola spoločnosť Slovgeoterm a islandská konzultačná skupina Orkustofnun.</w:t>
      </w:r>
    </w:p>
    <w:p w14:paraId="4EAE7564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Na realizáciu projektu bola založená spoločnosť Galantaterm s r.o. Galanta v roku 1995. Hlavným predmetom činnosti spoločnosti Galantaterm s r.o. je výroba a distribúcia tepla a teplej úžitkovej vody /TÚV/.   </w:t>
      </w:r>
    </w:p>
    <w:p w14:paraId="15DA6F00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Štruktúra vlastníkov spoločnosti</w:t>
      </w:r>
    </w:p>
    <w:p w14:paraId="77E10C2B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Väčšinovým vlastníkom spoločnosti je Mesto Galanta (cca 75%). Ďalšími spoločníkmi sú SPP Infrastructure a.s. (predtým Slovenský plynárenský priemysel a.s./SPP/), Orkuveita Reykjavíkur Reykjavik, Island, (predtým Hitaveita Reykjavikur), a Slovgeoterm a.s. Do 1.1.2007 bola spoločníkom aj spoločnosť Nordic Environment Finance Corporation Helsinki. Od 1.1.2007 vlastní ich podiel mesto Galanta.</w:t>
      </w:r>
    </w:p>
    <w:p w14:paraId="0F9CBE2B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Zmena palivovej základne na sídlisku Sever a v NsP Sv. Lukáša Galanta</w:t>
      </w:r>
    </w:p>
    <w:p w14:paraId="0B382482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Projekt bol uvedený do prevádzky v roku 1996.</w:t>
      </w:r>
    </w:p>
    <w:p w14:paraId="03DD3B23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Vykurovanie a výroba teplej úžitkovej vody geotermálnou energiou nahradilo tradičný spôsob vykurovania v dvoch častiach mesta Galanta.</w:t>
      </w:r>
    </w:p>
    <w:p w14:paraId="59327220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Na sídlisku Sever nahradilo fosílne palivo - zemný plyn pre viac ako 1300 bytov, zariadenia občianskej vybavenosti - základná škola, materská škola, domov dôchodcov, obchody.</w:t>
      </w:r>
    </w:p>
    <w:p w14:paraId="7F51093E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 nemocnici bolo nahradené vykurovanie hnedým uhlím (lignitom).</w:t>
      </w:r>
    </w:p>
    <w:p w14:paraId="62DC84A2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Plynový náhradný zdroj tepla</w:t>
      </w:r>
    </w:p>
    <w:p w14:paraId="40D93775" w14:textId="77777777" w:rsidR="00404A60" w:rsidRPr="00404A60" w:rsidRDefault="00404A60" w:rsidP="00404A60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na pokrytie chýbajúceho výkonu GOS</w:t>
      </w:r>
    </w:p>
    <w:p w14:paraId="68315FF7" w14:textId="77777777" w:rsidR="00404A60" w:rsidRPr="00404A60" w:rsidRDefault="00404A60" w:rsidP="00404A60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ako náhradný zdroj pri výpadu vrtov </w:t>
      </w:r>
    </w:p>
    <w:p w14:paraId="493B661D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Ďalšie využívanie a zneškodnenie geotermálnej vody</w:t>
      </w:r>
    </w:p>
    <w:p w14:paraId="06C94925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T</w:t>
      </w:r>
      <w:r w:rsidRPr="00404A60">
        <w:rPr>
          <w:rFonts w:ascii="Arial" w:hAnsi="Arial" w:cs="Arial"/>
          <w:sz w:val="22"/>
          <w:szCs w:val="22"/>
          <w:lang w:val="sk-SK"/>
        </w:rPr>
        <w:t>ermál centrum Galandia s.r.o v Galante využíva (od 1.8.2007) zvyškovú tepelnú energiu geotermálnej vody na ohrev vody v bazénoch, na prípravu TÚV  a na vykurovanie objektov kúpaliska.</w:t>
      </w:r>
    </w:p>
    <w:p w14:paraId="7307C56A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Tepelne využité geotermálne vody sú vypúšťané do  VD Kráľová nad Váhom.</w:t>
      </w:r>
    </w:p>
    <w:p w14:paraId="0C2D5D76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lastRenderedPageBreak/>
        <w:t>Podiel vyrobeného tepla z geotermálnej energie  bol v 98,6% a zo zemného plynu v roku 2021 1,4%.</w:t>
      </w:r>
    </w:p>
    <w:p w14:paraId="43672559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Environmentálne aspekty využívania geotermálnej energie</w:t>
      </w:r>
    </w:p>
    <w:p w14:paraId="6710AAFC" w14:textId="77777777" w:rsidR="00404A60" w:rsidRPr="00404A60" w:rsidRDefault="00404A60" w:rsidP="00404A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Spoločnosť Galantaterm s r.o. Galanta ako výrobca energie poskytuje z environmentálneho hľadiska výhodnejšiu energiu získanú z geotermálnej vody. </w:t>
      </w:r>
    </w:p>
    <w:p w14:paraId="057C75B8" w14:textId="77777777" w:rsidR="00404A60" w:rsidRPr="00404A60" w:rsidRDefault="00404A60" w:rsidP="00404A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V dôsledku využívania tohto nízko emisného zdroja znižuje sa spotreba fosílnych palív, minimalizuje sa nepriaznivý vplyv škodlivých a znečisťujúcich látok na ovzdušie, ktoré by vznikali dôsledkom spaľovania plynu a iných palív. </w:t>
      </w:r>
    </w:p>
    <w:p w14:paraId="12BCC41A" w14:textId="77777777" w:rsidR="00404A60" w:rsidRPr="00404A60" w:rsidRDefault="00404A60" w:rsidP="00404A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V podmienkach Galantatermu emisie pochádzajú z dvoch zdrojov, z geotermálnej vody a zo zemného plynu. </w:t>
      </w:r>
    </w:p>
    <w:p w14:paraId="6EBBCC05" w14:textId="77777777" w:rsidR="00404A60" w:rsidRPr="00404A60" w:rsidRDefault="00404A60" w:rsidP="00404A60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Najväčšia časť tepelnej energie sa získava z geotermálnej vody, ktorá vykrýva potrebu tepla do -2°   C vonkajšej teploty. Pri nižších stupňoch vonkajšej teploty chýbajúci výkon sa dodáva plynovými kotlami.</w:t>
      </w:r>
    </w:p>
    <w:p w14:paraId="358ECCF6" w14:textId="77777777" w:rsidR="00404A60" w:rsidRPr="00404A60" w:rsidRDefault="00404A60" w:rsidP="00404A60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Zdroje emisií</w:t>
      </w:r>
    </w:p>
    <w:p w14:paraId="4259B7A2" w14:textId="77777777" w:rsidR="00404A60" w:rsidRPr="00404A60" w:rsidRDefault="00404A60" w:rsidP="00404A60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Hlavným zdrojom emisií je zemný plyn, ktorý sa používa na prikurovanie.</w:t>
      </w:r>
    </w:p>
    <w:p w14:paraId="06E69985" w14:textId="77777777" w:rsidR="00404A60" w:rsidRPr="00404A60" w:rsidRDefault="00404A60" w:rsidP="00404A60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Galantská geotermálna voda je uhličitanového typu a preto určité množstvo emisií pochádza aj z geotermálnej vody.</w:t>
      </w:r>
    </w:p>
    <w:p w14:paraId="579C4AB9" w14:textId="472E9C9E" w:rsidR="00404A60" w:rsidRDefault="00404A60" w:rsidP="00404A60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Toto množstvo je zanedbateľné v porovnaní s emisiami z plynu a menej zaťažuje životné prostredie.</w:t>
      </w:r>
    </w:p>
    <w:p w14:paraId="623B3808" w14:textId="14E1748F" w:rsidR="00443AF9" w:rsidRDefault="00443AF9" w:rsidP="00443AF9">
      <w:pPr>
        <w:rPr>
          <w:rFonts w:ascii="Arial" w:hAnsi="Arial" w:cs="Arial"/>
          <w:sz w:val="22"/>
          <w:szCs w:val="22"/>
          <w:lang w:val="sk-SK"/>
        </w:rPr>
      </w:pPr>
    </w:p>
    <w:p w14:paraId="284149C6" w14:textId="1AB94714" w:rsidR="00443AF9" w:rsidRPr="00404A60" w:rsidRDefault="00443AF9" w:rsidP="007B1115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Prezentácia dos</w:t>
      </w:r>
      <w:r w:rsidR="007B1115">
        <w:rPr>
          <w:rFonts w:ascii="Arial" w:hAnsi="Arial" w:cs="Arial"/>
          <w:sz w:val="22"/>
          <w:szCs w:val="22"/>
          <w:lang w:val="sk-SK"/>
        </w:rPr>
        <w:t>t</w:t>
      </w:r>
      <w:r>
        <w:rPr>
          <w:rFonts w:ascii="Arial" w:hAnsi="Arial" w:cs="Arial"/>
          <w:sz w:val="22"/>
          <w:szCs w:val="22"/>
          <w:lang w:val="sk-SK"/>
        </w:rPr>
        <w:t xml:space="preserve">upná </w:t>
      </w:r>
      <w:hyperlink r:id="rId10" w:history="1"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T</w:t>
        </w:r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U</w:t>
        </w:r>
      </w:hyperlink>
      <w:r w:rsidR="007B1115">
        <w:rPr>
          <w:rFonts w:ascii="Arial" w:hAnsi="Arial" w:cs="Arial"/>
          <w:sz w:val="22"/>
          <w:szCs w:val="22"/>
          <w:lang w:val="sk-SK"/>
        </w:rPr>
        <w:t>.</w:t>
      </w:r>
    </w:p>
    <w:p w14:paraId="21EB7905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</w:p>
    <w:p w14:paraId="618E782D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404A60"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  <w:t>Prezentácia 3: Obehové hospodárstvo, energetická efektívnosť, financovanie a miestne samosprávy</w:t>
      </w:r>
    </w:p>
    <w:p w14:paraId="31A53B81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</w:pPr>
    </w:p>
    <w:p w14:paraId="2AE87F95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Aktivity Národného úradu pre výskum,vývoj a inovácie a dinančné možnosti pre samosprávy predstavil expert úradu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Zoltán Palotai.</w:t>
      </w:r>
    </w:p>
    <w:p w14:paraId="3473480D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Úrad je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technologická platforma obehového hospodárstva</w:t>
      </w:r>
      <w:r w:rsidRPr="00404A60">
        <w:rPr>
          <w:rFonts w:ascii="Arial" w:hAnsi="Arial" w:cs="Arial"/>
          <w:sz w:val="22"/>
          <w:szCs w:val="22"/>
          <w:lang w:val="sk-SK"/>
        </w:rPr>
        <w:t>, ktorej cieľom je urýchliť prechod Maďarska na obehové hospodárstvo a stať sa tak medzinárodným lídrom je obehovom hospodárstve.</w:t>
      </w:r>
    </w:p>
    <w:p w14:paraId="459FFB28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Program EÚ Horizont</w:t>
      </w:r>
    </w:p>
    <w:p w14:paraId="2572FE9B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V rámci programu riešenie energetickej efektívnosti poskytuje klaster 5, aktivita 4: efektívne, udržateľné a inkluzívne využívanie energie: </w:t>
      </w:r>
    </w:p>
    <w:p w14:paraId="479E4851" w14:textId="77777777" w:rsidR="00404A60" w:rsidRPr="00404A60" w:rsidRDefault="00404A60" w:rsidP="00404A60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Zameriava </w:t>
      </w:r>
      <w:r w:rsidRPr="00404A60">
        <w:rPr>
          <w:rFonts w:ascii="Arial" w:hAnsi="Arial" w:cs="Arial"/>
          <w:b/>
          <w:bCs/>
          <w:lang w:val="sk-SK"/>
        </w:rPr>
        <w:t xml:space="preserve">sa na stranu dopytu po energii </w:t>
      </w:r>
      <w:r w:rsidRPr="00404A60">
        <w:rPr>
          <w:rFonts w:ascii="Arial" w:hAnsi="Arial" w:cs="Arial"/>
          <w:lang w:val="sk-SK"/>
        </w:rPr>
        <w:t>, najmä na budovy a priemysel.</w:t>
      </w:r>
    </w:p>
    <w:p w14:paraId="1E491442" w14:textId="77777777" w:rsidR="00404A60" w:rsidRPr="00404A60" w:rsidRDefault="00404A60" w:rsidP="00404A60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Očakávaný dopad: efektívne a trvalo udržateľné využívanie energie dostupné pre každého predstavuje systém čistej energie a spravodlivého prechodu.</w:t>
      </w:r>
    </w:p>
    <w:p w14:paraId="749AF0BB" w14:textId="1FF60300" w:rsidR="00404A60" w:rsidRPr="00404A60" w:rsidRDefault="00404A60" w:rsidP="00404A60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Technologické a sociálno-ekonomické prelomy na dosiahnutie klimatickej neutrality a prechod na nulové znečistenie </w:t>
      </w:r>
      <w:r w:rsidRPr="00404A60">
        <w:rPr>
          <w:rFonts w:ascii="Arial" w:hAnsi="Arial" w:cs="Arial"/>
          <w:b/>
          <w:bCs/>
          <w:lang w:val="sk-SK"/>
        </w:rPr>
        <w:t xml:space="preserve">fondu budov </w:t>
      </w:r>
      <w:r w:rsidRPr="00404A60">
        <w:rPr>
          <w:rFonts w:ascii="Arial" w:hAnsi="Arial" w:cs="Arial"/>
          <w:lang w:val="sk-SK"/>
        </w:rPr>
        <w:t>do roku 2050 na základe inkluzívneho a na človeka zameraného výskumu a</w:t>
      </w:r>
      <w:r w:rsidR="00EA3F84">
        <w:rPr>
          <w:rFonts w:ascii="Arial" w:hAnsi="Arial" w:cs="Arial"/>
          <w:lang w:val="sk-SK"/>
        </w:rPr>
        <w:t> </w:t>
      </w:r>
      <w:r w:rsidRPr="00404A60">
        <w:rPr>
          <w:rFonts w:ascii="Arial" w:hAnsi="Arial" w:cs="Arial"/>
          <w:lang w:val="sk-SK"/>
        </w:rPr>
        <w:t>inovácií</w:t>
      </w:r>
      <w:r w:rsidR="00EA3F84">
        <w:rPr>
          <w:rFonts w:ascii="Arial" w:hAnsi="Arial" w:cs="Arial"/>
          <w:lang w:val="sk-SK"/>
        </w:rPr>
        <w:t>.</w:t>
      </w:r>
    </w:p>
    <w:p w14:paraId="77121E15" w14:textId="77777777" w:rsidR="00404A60" w:rsidRPr="00404A60" w:rsidRDefault="00404A60" w:rsidP="00404A60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Zvýšená energetická účinnosť v </w:t>
      </w:r>
      <w:r w:rsidRPr="00404A60">
        <w:rPr>
          <w:rFonts w:ascii="Arial" w:hAnsi="Arial" w:cs="Arial"/>
          <w:b/>
          <w:bCs/>
          <w:lang w:val="sk-SK"/>
        </w:rPr>
        <w:t xml:space="preserve">priemysle </w:t>
      </w:r>
      <w:r w:rsidRPr="00404A60">
        <w:rPr>
          <w:rFonts w:ascii="Arial" w:hAnsi="Arial" w:cs="Arial"/>
          <w:lang w:val="sk-SK"/>
        </w:rPr>
        <w:t>a zníženie priemyselných skleníkových plynov (GHG) a emisií látok znečisťujúcich ovzdušie pomocou regenerácie, modernizácie a/alebo premeny priemyselného prebytočného (odpadového) tepla a elektrifikácie výroby tepla.</w:t>
      </w:r>
    </w:p>
    <w:p w14:paraId="0D18F80E" w14:textId="22A6026D" w:rsidR="00404A60" w:rsidRPr="00404A60" w:rsidRDefault="00404A60" w:rsidP="00404A60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Aktivita je v súlade s navrhovaným </w:t>
      </w:r>
      <w:r w:rsidRPr="00404A60">
        <w:rPr>
          <w:rFonts w:ascii="Arial" w:hAnsi="Arial" w:cs="Arial"/>
          <w:b/>
          <w:bCs/>
          <w:lang w:val="sk-SK"/>
        </w:rPr>
        <w:t xml:space="preserve">balíkom Fit-for-55 </w:t>
      </w:r>
      <w:r w:rsidRPr="00404A60">
        <w:rPr>
          <w:rFonts w:ascii="Arial" w:hAnsi="Arial" w:cs="Arial"/>
          <w:lang w:val="sk-SK"/>
        </w:rPr>
        <w:t xml:space="preserve">(energetická účinnosť, obnoviteľná energia a energetická hospodárnosť budov do roku 2021), </w:t>
      </w:r>
      <w:r w:rsidRPr="00404A60">
        <w:rPr>
          <w:rFonts w:ascii="Arial" w:hAnsi="Arial" w:cs="Arial"/>
          <w:b/>
          <w:bCs/>
          <w:lang w:val="sk-SK"/>
        </w:rPr>
        <w:t xml:space="preserve">stratégiou vĺn renovácie </w:t>
      </w:r>
      <w:r w:rsidRPr="00404A60">
        <w:rPr>
          <w:rFonts w:ascii="Arial" w:hAnsi="Arial" w:cs="Arial"/>
          <w:lang w:val="sk-SK"/>
        </w:rPr>
        <w:t xml:space="preserve">a novou európskou iniciatívou Bauhaus, </w:t>
      </w:r>
      <w:r w:rsidRPr="00404A60">
        <w:rPr>
          <w:rFonts w:ascii="Arial" w:hAnsi="Arial" w:cs="Arial"/>
          <w:b/>
          <w:bCs/>
          <w:lang w:val="sk-SK"/>
        </w:rPr>
        <w:t xml:space="preserve">nové riešenia </w:t>
      </w:r>
      <w:r w:rsidRPr="00404A60">
        <w:rPr>
          <w:rFonts w:ascii="Arial" w:hAnsi="Arial" w:cs="Arial"/>
          <w:lang w:val="sk-SK"/>
        </w:rPr>
        <w:t>na zabezpečenie udržateľnej renovácie existujúceho európskeho fondu budov</w:t>
      </w:r>
      <w:r w:rsidR="00EA3F84">
        <w:rPr>
          <w:rFonts w:ascii="Arial" w:hAnsi="Arial" w:cs="Arial"/>
          <w:lang w:val="sk-SK"/>
        </w:rPr>
        <w:t>.</w:t>
      </w:r>
    </w:p>
    <w:p w14:paraId="608BC4D9" w14:textId="77777777" w:rsidR="00404A60" w:rsidRPr="00404A60" w:rsidRDefault="00404A60" w:rsidP="00404A60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Ponúka programu na riešenie </w:t>
      </w:r>
      <w:r w:rsidRPr="00404A60">
        <w:rPr>
          <w:rFonts w:ascii="Arial" w:hAnsi="Arial" w:cs="Arial"/>
          <w:b/>
          <w:bCs/>
          <w:lang w:val="sk-SK"/>
        </w:rPr>
        <w:t>energetickej efektívnosti budov: efektívnejší fond budov</w:t>
      </w:r>
      <w:r w:rsidRPr="00404A60">
        <w:rPr>
          <w:rFonts w:ascii="Arial" w:hAnsi="Arial" w:cs="Arial"/>
          <w:lang w:val="sk-SK"/>
        </w:rPr>
        <w:t xml:space="preserve">, ktorý efektívne kombinuje energetickú účinnosť a </w:t>
      </w:r>
      <w:r w:rsidRPr="00404A60">
        <w:rPr>
          <w:rFonts w:ascii="Arial" w:hAnsi="Arial" w:cs="Arial"/>
          <w:b/>
          <w:bCs/>
          <w:lang w:val="sk-SK"/>
        </w:rPr>
        <w:t xml:space="preserve">obnoviteľné zdroje </w:t>
      </w:r>
      <w:r w:rsidRPr="00404A60">
        <w:rPr>
          <w:rFonts w:ascii="Arial" w:hAnsi="Arial" w:cs="Arial"/>
          <w:lang w:val="sk-SK"/>
        </w:rPr>
        <w:t xml:space="preserve">energie, ako aj </w:t>
      </w:r>
      <w:r w:rsidRPr="00404A60">
        <w:rPr>
          <w:rFonts w:ascii="Arial" w:hAnsi="Arial" w:cs="Arial"/>
          <w:b/>
          <w:bCs/>
          <w:lang w:val="sk-SK"/>
        </w:rPr>
        <w:t xml:space="preserve">digitálne a inteligentné </w:t>
      </w:r>
      <w:r w:rsidRPr="00404A60">
        <w:rPr>
          <w:rFonts w:ascii="Arial" w:hAnsi="Arial" w:cs="Arial"/>
          <w:lang w:val="sk-SK"/>
        </w:rPr>
        <w:t xml:space="preserve">technológie (na tento účel sú dostupné 3 výzvy programu: </w:t>
      </w:r>
      <w:r w:rsidRPr="00404A60">
        <w:rPr>
          <w:rFonts w:ascii="Arial" w:hAnsi="Arial" w:cs="Arial"/>
          <w:lang w:val="sk-SK"/>
        </w:rPr>
        <w:lastRenderedPageBreak/>
        <w:t xml:space="preserve">HORIZONT-CL5-2022-D4-01-01, 02, 03 (uzávierka výziev: 6. septembra 2022, viac informácií </w:t>
      </w:r>
      <w:hyperlink r:id="rId11" w:history="1">
        <w:r w:rsidRPr="00404A60">
          <w:rPr>
            <w:rStyle w:val="Hyperlink"/>
            <w:rFonts w:ascii="Arial" w:eastAsiaTheme="majorEastAsia" w:hAnsi="Arial" w:cs="Arial"/>
            <w:lang w:val="sk-SK"/>
          </w:rPr>
          <w:t>tu</w:t>
        </w:r>
      </w:hyperlink>
      <w:r w:rsidRPr="00404A60">
        <w:rPr>
          <w:rFonts w:ascii="Arial" w:hAnsi="Arial" w:cs="Arial"/>
          <w:lang w:val="sk-SK"/>
        </w:rPr>
        <w:t xml:space="preserve">.). </w:t>
      </w:r>
    </w:p>
    <w:p w14:paraId="1AAF4F50" w14:textId="77777777" w:rsidR="00EA3F84" w:rsidRDefault="00404A60" w:rsidP="00404A60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Ponuka programu na </w:t>
      </w:r>
      <w:r w:rsidRPr="00404A60">
        <w:rPr>
          <w:rFonts w:ascii="Arial" w:hAnsi="Arial" w:cs="Arial"/>
          <w:b/>
          <w:bCs/>
          <w:lang w:val="sk-SK"/>
        </w:rPr>
        <w:t xml:space="preserve">manažment tepelnej energie </w:t>
      </w:r>
      <w:r w:rsidRPr="00404A60">
        <w:rPr>
          <w:rFonts w:ascii="Arial" w:hAnsi="Arial" w:cs="Arial"/>
          <w:lang w:val="sk-SK"/>
        </w:rPr>
        <w:t>v </w:t>
      </w:r>
      <w:r w:rsidRPr="00404A60">
        <w:rPr>
          <w:rFonts w:ascii="Arial" w:hAnsi="Arial" w:cs="Arial"/>
          <w:b/>
          <w:bCs/>
          <w:lang w:val="sk-SK"/>
        </w:rPr>
        <w:t>priemysle:</w:t>
      </w:r>
      <w:r w:rsidR="00EA3F84">
        <w:rPr>
          <w:rFonts w:ascii="Arial" w:hAnsi="Arial" w:cs="Arial"/>
          <w:b/>
          <w:bCs/>
          <w:lang w:val="sk-SK"/>
        </w:rPr>
        <w:t xml:space="preserve"> </w:t>
      </w:r>
      <w:r w:rsidRPr="00404A60">
        <w:rPr>
          <w:rFonts w:ascii="Arial" w:hAnsi="Arial" w:cs="Arial"/>
          <w:b/>
          <w:bCs/>
          <w:lang w:val="sk-SK"/>
        </w:rPr>
        <w:t>Rekuperácia</w:t>
      </w:r>
      <w:r w:rsidRPr="00404A60">
        <w:rPr>
          <w:rFonts w:ascii="Arial" w:hAnsi="Arial" w:cs="Arial"/>
          <w:lang w:val="sk-SK"/>
        </w:rPr>
        <w:t xml:space="preserve">, </w:t>
      </w:r>
      <w:r w:rsidRPr="00404A60">
        <w:rPr>
          <w:rFonts w:ascii="Arial" w:hAnsi="Arial" w:cs="Arial"/>
          <w:b/>
          <w:bCs/>
          <w:lang w:val="sk-SK"/>
        </w:rPr>
        <w:t xml:space="preserve">modernizácia </w:t>
      </w:r>
      <w:r w:rsidRPr="00404A60">
        <w:rPr>
          <w:rFonts w:ascii="Arial" w:hAnsi="Arial" w:cs="Arial"/>
          <w:lang w:val="sk-SK"/>
        </w:rPr>
        <w:t xml:space="preserve">a/alebo </w:t>
      </w:r>
      <w:r w:rsidRPr="00404A60">
        <w:rPr>
          <w:rFonts w:ascii="Arial" w:hAnsi="Arial" w:cs="Arial"/>
          <w:b/>
          <w:bCs/>
          <w:lang w:val="sk-SK"/>
        </w:rPr>
        <w:t xml:space="preserve">transformácia </w:t>
      </w:r>
      <w:r w:rsidRPr="00404A60">
        <w:rPr>
          <w:rFonts w:ascii="Arial" w:hAnsi="Arial" w:cs="Arial"/>
          <w:lang w:val="sk-SK"/>
        </w:rPr>
        <w:t xml:space="preserve">a elektrifikácia priemyselného prebytočného tepla (odpadové teplo). Silné prepojenie so 4. klastrom „Digitálny, priemysel a vesmír “, kde sa rieši väčšina výskumných a inovačných aktivít súvisiacich s priemyslom (na tento účel </w:t>
      </w:r>
    </w:p>
    <w:p w14:paraId="67070D3F" w14:textId="77777777" w:rsidR="00EA3F84" w:rsidRDefault="00EA3F84" w:rsidP="00EA3F84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D0B931E" w14:textId="0D0A8117" w:rsidR="00404A60" w:rsidRPr="00EA3F84" w:rsidRDefault="00404A60" w:rsidP="00EA3F8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EA3F84">
        <w:rPr>
          <w:rFonts w:ascii="Arial" w:hAnsi="Arial" w:cs="Arial"/>
          <w:sz w:val="22"/>
          <w:szCs w:val="22"/>
          <w:lang w:val="sk-SK"/>
        </w:rPr>
        <w:t xml:space="preserve">dostupné výzvy HORIZONT-CL5-2022-D4-01-04, 05 (termín uzávierky: 6. septembra 2022, viac infomácií </w:t>
      </w:r>
      <w:hyperlink r:id="rId12" w:history="1">
        <w:r w:rsidRPr="00EA3F84">
          <w:rPr>
            <w:rStyle w:val="Hyperlink"/>
            <w:rFonts w:ascii="Arial" w:eastAsiaTheme="majorEastAsia" w:hAnsi="Arial" w:cs="Arial"/>
            <w:sz w:val="22"/>
            <w:szCs w:val="22"/>
            <w:lang w:val="sk-SK"/>
          </w:rPr>
          <w:t>tu</w:t>
        </w:r>
      </w:hyperlink>
      <w:r w:rsidRPr="00EA3F84">
        <w:rPr>
          <w:rFonts w:ascii="Arial" w:hAnsi="Arial" w:cs="Arial"/>
          <w:sz w:val="22"/>
          <w:szCs w:val="22"/>
          <w:lang w:val="sk-SK"/>
        </w:rPr>
        <w:t>)</w:t>
      </w:r>
    </w:p>
    <w:p w14:paraId="7017E161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2E2D43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Operačný program Environmentálna a energetická efektívnosť Plus 2021-2027 (HU)</w:t>
      </w:r>
    </w:p>
    <w:p w14:paraId="098B5A41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Aké dôležité nové témy pribudnú?</w:t>
      </w:r>
    </w:p>
    <w:p w14:paraId="42122D34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1. Ochrana vody (v sektore vodárenských služieb)</w:t>
      </w:r>
    </w:p>
    <w:p w14:paraId="4E5D0991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2. Mestská zelená a modrá infraštruktúra (s posilnením „modrej“)</w:t>
      </w:r>
    </w:p>
    <w:p w14:paraId="6244EC2C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3. Cirkulárna ekonomika (konečný cieľ: nulový odpad)</w:t>
      </w:r>
    </w:p>
    <w:p w14:paraId="09252E6D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4. Energetické komunity (lokálna sebestačnosť, zníženie závislosti od dovozu)</w:t>
      </w:r>
    </w:p>
    <w:p w14:paraId="7272C849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5. Systém energetických záväzkov (poskytovateľ energie vyvoláva investície zamerané na efektívnosť)</w:t>
      </w:r>
    </w:p>
    <w:p w14:paraId="387A9DAB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6. Fond spravodlivej transformácie - dokončené plány (Heves, Baranya, Borsod-Abaúj-Zemplén), OP v OP: MSP, zamestnanosť, výskum a vývoj, energetika, obehové hospodárstvo, doprava</w:t>
      </w:r>
    </w:p>
    <w:p w14:paraId="52FF7A6B" w14:textId="77777777" w:rsidR="00404A60" w:rsidRPr="00404A60" w:rsidRDefault="00404A60" w:rsidP="00404A60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 xml:space="preserve">Konkrétnejšie aktivity OP Enviromentálna a energetická efektívnosť </w:t>
      </w:r>
    </w:p>
    <w:p w14:paraId="2E0837C9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Vodné hospodárstvo a znižovanie rizika katastrof</w:t>
      </w:r>
    </w:p>
    <w:p w14:paraId="0C50D67D" w14:textId="77777777" w:rsidR="00404A60" w:rsidRPr="00404A60" w:rsidRDefault="00404A60" w:rsidP="00404A6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Zníženie rizika katastrof (vnútroštátne)</w:t>
      </w:r>
    </w:p>
    <w:p w14:paraId="1441434B" w14:textId="77777777" w:rsidR="00404A60" w:rsidRPr="00404A60" w:rsidRDefault="00404A60" w:rsidP="00404A6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Rozvoj parkových zariadení, prieskum povrchových pohybov</w:t>
      </w:r>
    </w:p>
    <w:p w14:paraId="26BF4B78" w14:textId="77777777" w:rsidR="00404A60" w:rsidRPr="00404A60" w:rsidRDefault="00404A60" w:rsidP="00404A60">
      <w:pPr>
        <w:pStyle w:val="ListParagrap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V prípade nadmerného zdroja:</w:t>
      </w:r>
    </w:p>
    <w:p w14:paraId="13BF0F6A" w14:textId="77777777" w:rsidR="00404A60" w:rsidRPr="00404A60" w:rsidRDefault="00404A60" w:rsidP="00404A6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protipožiarne stráže</w:t>
      </w:r>
    </w:p>
    <w:p w14:paraId="23BF20AA" w14:textId="77777777" w:rsidR="00404A60" w:rsidRPr="00404A60" w:rsidRDefault="00404A60" w:rsidP="00404A6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inovatívne nástroje</w:t>
      </w:r>
    </w:p>
    <w:p w14:paraId="7654D459" w14:textId="77777777" w:rsidR="00404A60" w:rsidRPr="00404A60" w:rsidRDefault="00404A60" w:rsidP="00404A6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zdravotná starostlivosť pri katastrofách</w:t>
      </w:r>
    </w:p>
    <w:p w14:paraId="2F635C2F" w14:textId="77777777" w:rsidR="00404A60" w:rsidRPr="00404A60" w:rsidRDefault="00404A60" w:rsidP="00404A6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Voda a osídlenie - </w:t>
      </w:r>
      <w:r w:rsidRPr="00404A60">
        <w:rPr>
          <w:rFonts w:ascii="Arial" w:hAnsi="Arial" w:cs="Arial"/>
          <w:b/>
          <w:bCs/>
          <w:lang w:val="sk-SK"/>
        </w:rPr>
        <w:t xml:space="preserve">VÉT </w:t>
      </w:r>
      <w:r w:rsidRPr="00404A60">
        <w:rPr>
          <w:rFonts w:ascii="Arial" w:hAnsi="Arial" w:cs="Arial"/>
          <w:lang w:val="sk-SK"/>
        </w:rPr>
        <w:t>( vodné hospodárstvo + súvisiaci rozvoj osídlenia)</w:t>
      </w:r>
    </w:p>
    <w:p w14:paraId="11D448AD" w14:textId="77777777" w:rsidR="00404A60" w:rsidRPr="00404A60" w:rsidRDefault="00404A60" w:rsidP="00404A6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V prípade problémov s vodou (kvantitatívne alebo kvalitatívne) investície ovplyvňujúce osídlenie</w:t>
      </w:r>
    </w:p>
    <w:p w14:paraId="17F4C0E9" w14:textId="77777777" w:rsidR="00404A60" w:rsidRPr="00404A60" w:rsidRDefault="00404A60" w:rsidP="00404A6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Škody spôsobené vodou, škody spôsobené suchom, ochrana vôd - </w:t>
      </w:r>
      <w:r w:rsidRPr="00404A60">
        <w:rPr>
          <w:rFonts w:ascii="Arial" w:hAnsi="Arial" w:cs="Arial"/>
          <w:b/>
          <w:bCs/>
          <w:lang w:val="sk-SK"/>
        </w:rPr>
        <w:t xml:space="preserve">VAV </w:t>
      </w:r>
      <w:r w:rsidRPr="00404A60">
        <w:rPr>
          <w:rFonts w:ascii="Arial" w:hAnsi="Arial" w:cs="Arial"/>
          <w:lang w:val="sk-SK"/>
        </w:rPr>
        <w:t>(regionálne zásahy využívajúce synergie, napr. poľnohospodárstvo, ochrana prírody, cestovný ruch)</w:t>
      </w:r>
    </w:p>
    <w:p w14:paraId="239956A1" w14:textId="77777777" w:rsidR="00404A60" w:rsidRPr="00404A60" w:rsidRDefault="00404A60" w:rsidP="00404A6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V oboch prípadoch (VÉT, VAV) je prioritou voda a súvisiace investície – </w:t>
      </w:r>
      <w:r w:rsidRPr="00404A60">
        <w:rPr>
          <w:rFonts w:ascii="Arial" w:hAnsi="Arial" w:cs="Arial"/>
          <w:b/>
          <w:bCs/>
          <w:lang w:val="sk-SK"/>
        </w:rPr>
        <w:t>zelená a modrá infraštruktúra, biodiverzita, adaptácia</w:t>
      </w:r>
    </w:p>
    <w:p w14:paraId="4C9D29DE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Obehové hospodárstvo a udržateľnosť</w:t>
      </w:r>
    </w:p>
    <w:p w14:paraId="445BF926" w14:textId="77777777" w:rsidR="00404A60" w:rsidRPr="00404A60" w:rsidRDefault="00404A60" w:rsidP="00404A6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Vodné hospodárstvo (odpadová voda, pitná voda, zmena klímy a ochrana vody)</w:t>
      </w:r>
    </w:p>
    <w:p w14:paraId="1771F5EF" w14:textId="77777777" w:rsidR="00404A60" w:rsidRPr="00404A60" w:rsidRDefault="00404A60" w:rsidP="00404A6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„Klasické“ usmernenia pre investície do vodárenských služieb</w:t>
      </w:r>
    </w:p>
    <w:p w14:paraId="09F47E1C" w14:textId="77777777" w:rsidR="00404A60" w:rsidRPr="00404A60" w:rsidRDefault="00404A60" w:rsidP="00404A6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Komplexné projekty so zelenými riešeniami, efektívnosťou, automatizáciou, digitalizáciou</w:t>
      </w:r>
    </w:p>
    <w:p w14:paraId="0396B910" w14:textId="77777777" w:rsidR="00404A60" w:rsidRPr="00404A60" w:rsidRDefault="00404A60" w:rsidP="00404A6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Zelená a modrá infraštruktúra (mestské investície v súlade s cieľmi OP)</w:t>
      </w:r>
    </w:p>
    <w:p w14:paraId="484659D4" w14:textId="77777777" w:rsidR="00404A60" w:rsidRPr="00404A60" w:rsidRDefault="00404A60" w:rsidP="00404A6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Dažďová voda</w:t>
      </w:r>
    </w:p>
    <w:p w14:paraId="4DF0EAA3" w14:textId="77777777" w:rsidR="00404A60" w:rsidRPr="00404A60" w:rsidRDefault="00404A60" w:rsidP="00404A6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Klimatické zmeny (tepelný ostrov, UV atď. )</w:t>
      </w:r>
    </w:p>
    <w:p w14:paraId="2E665A24" w14:textId="77777777" w:rsidR="00404A60" w:rsidRPr="00404A60" w:rsidRDefault="00404A60" w:rsidP="00404A6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Kvalita ovzdušia, biodiverzita</w:t>
      </w:r>
    </w:p>
    <w:p w14:paraId="279CD246" w14:textId="77777777" w:rsidR="00404A60" w:rsidRPr="00404A60" w:rsidRDefault="00404A60" w:rsidP="00404A6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Odpadové hospodárstvo (nová legislatíva EÚ - SUP, 4 nové frakcie, prísnejšie limitné hodnoty), nemožno od roku 2021 účtovať: skládka, spaľovňa, rozšírenie kapacity mechanicko-biologickej predúpravy</w:t>
      </w:r>
    </w:p>
    <w:p w14:paraId="463B8DF0" w14:textId="77777777" w:rsidR="00404A60" w:rsidRPr="00404A60" w:rsidRDefault="00404A60" w:rsidP="00404A60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Cirkulárna ekonomika (transformácia podnikov: napr. priemyselná symbióza, zdieľaná ekonomika, neskôr cielené sektorové a medzisektorové programy, pozri aj: GINOP Plusz)</w:t>
      </w:r>
    </w:p>
    <w:p w14:paraId="75C1071A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lastRenderedPageBreak/>
        <w:t>Ochrana životného prostredia a prírody</w:t>
      </w:r>
    </w:p>
    <w:p w14:paraId="093A6543" w14:textId="77777777" w:rsidR="00404A60" w:rsidRPr="00404A60" w:rsidRDefault="00404A60" w:rsidP="00404A6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Sanácia (príprava hnedého poľa) - zodpovednosť štátu</w:t>
      </w:r>
    </w:p>
    <w:p w14:paraId="204B75B6" w14:textId="77777777" w:rsidR="00404A60" w:rsidRPr="00404A60" w:rsidRDefault="00404A60" w:rsidP="00404A6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Nové" znečisťujúce látky ( mikroplasty , POP/"večné znečisťujúce látky", napr. DDT)</w:t>
      </w:r>
    </w:p>
    <w:p w14:paraId="09EF8DB4" w14:textId="77777777" w:rsidR="00404A60" w:rsidRPr="00404A60" w:rsidRDefault="00404A60" w:rsidP="00404A6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Kvalita ovzdušia (len meracie prístroje) – Budapešť, Pécs, údolie Sajó, znečistenie spôsobuje najmä vykurovanie obytných priestorov a doprava, 12 – 15 000 predčasných úmrtí ročne</w:t>
      </w:r>
    </w:p>
    <w:p w14:paraId="461BE9EA" w14:textId="77777777" w:rsidR="00404A60" w:rsidRPr="00404A60" w:rsidRDefault="00404A60" w:rsidP="00404A6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MSP šetrné k životnému prostrediu (napr. EMAS, ekodizajn )</w:t>
      </w:r>
    </w:p>
    <w:p w14:paraId="37E98056" w14:textId="77777777" w:rsidR="00404A60" w:rsidRPr="00404A60" w:rsidRDefault="00404A60" w:rsidP="00404A6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Ochrana prírody (vonkajšia zelená infraštruktúra) – územia Natura 2000, rozvoj informačných systémov</w:t>
      </w:r>
    </w:p>
    <w:p w14:paraId="13ED4447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Ekonomika obnoviteľnej energie</w:t>
      </w:r>
    </w:p>
    <w:p w14:paraId="106113E4" w14:textId="77777777" w:rsidR="00404A60" w:rsidRPr="00404A60" w:rsidRDefault="00404A60" w:rsidP="00404A60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Energetická efektívnosť (budova: MSP, verejná budova, obyvateľstvo)</w:t>
      </w:r>
    </w:p>
    <w:p w14:paraId="7744B8DD" w14:textId="77777777" w:rsidR="00404A60" w:rsidRPr="00404A60" w:rsidRDefault="00404A60" w:rsidP="00404A60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Zlepšenie účinnosti systémov diaľkového vykurovania a diaľkového chladenia (založené na obnoviteľných zdrojoch) </w:t>
      </w:r>
    </w:p>
    <w:p w14:paraId="2274E87A" w14:textId="77777777" w:rsidR="00404A60" w:rsidRPr="00404A60" w:rsidRDefault="00404A60" w:rsidP="00404A60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Podpora obnoviteľných energií (elektrina, kúrenie-chladenie)</w:t>
      </w:r>
    </w:p>
    <w:p w14:paraId="7A076343" w14:textId="77777777" w:rsidR="00404A60" w:rsidRPr="00404A60" w:rsidRDefault="00404A60" w:rsidP="00404A60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Výroba vodíka na obnoviteľnej báze</w:t>
      </w:r>
    </w:p>
    <w:p w14:paraId="08780478" w14:textId="77777777" w:rsidR="00404A60" w:rsidRPr="00404A60" w:rsidRDefault="00404A60" w:rsidP="00404A60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Rozvoj siete, zlepšenie flexibility, inteligentné energetické systémy, skladovanie,</w:t>
      </w:r>
    </w:p>
    <w:p w14:paraId="7F501E45" w14:textId="24A87783" w:rsidR="00404A60" w:rsidRDefault="00404A60" w:rsidP="00404A60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Vodík ako nosič a zásobník energie</w:t>
      </w:r>
    </w:p>
    <w:p w14:paraId="6DFDA0EC" w14:textId="0756A408" w:rsidR="007B1115" w:rsidRDefault="007B1115" w:rsidP="007B1115">
      <w:pPr>
        <w:rPr>
          <w:rFonts w:ascii="Arial" w:hAnsi="Arial" w:cs="Arial"/>
          <w:lang w:val="sk-SK"/>
        </w:rPr>
      </w:pPr>
    </w:p>
    <w:p w14:paraId="15B46FC9" w14:textId="37464722" w:rsidR="007B1115" w:rsidRPr="00404A60" w:rsidRDefault="007B1115" w:rsidP="007B1115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Prezentácia dos</w:t>
      </w:r>
      <w:r>
        <w:rPr>
          <w:rFonts w:ascii="Arial" w:hAnsi="Arial" w:cs="Arial"/>
          <w:sz w:val="22"/>
          <w:szCs w:val="22"/>
          <w:lang w:val="sk-SK"/>
        </w:rPr>
        <w:t>t</w:t>
      </w:r>
      <w:r>
        <w:rPr>
          <w:rFonts w:ascii="Arial" w:hAnsi="Arial" w:cs="Arial"/>
          <w:sz w:val="22"/>
          <w:szCs w:val="22"/>
          <w:lang w:val="sk-SK"/>
        </w:rPr>
        <w:t xml:space="preserve">upná </w:t>
      </w:r>
      <w:hyperlink r:id="rId13" w:history="1"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T</w:t>
        </w:r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U</w:t>
        </w:r>
      </w:hyperlink>
      <w:r>
        <w:rPr>
          <w:rFonts w:ascii="Arial" w:hAnsi="Arial" w:cs="Arial"/>
          <w:sz w:val="22"/>
          <w:szCs w:val="22"/>
          <w:lang w:val="sk-SK"/>
        </w:rPr>
        <w:t xml:space="preserve"> (v maďarskom jazyku).</w:t>
      </w:r>
    </w:p>
    <w:p w14:paraId="3FA6437D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</w:p>
    <w:p w14:paraId="5AEBADB7" w14:textId="77777777" w:rsidR="00404A60" w:rsidRPr="00404A60" w:rsidRDefault="00404A60" w:rsidP="00404A60">
      <w:pPr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404A60"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  <w:t>Prezentácia 4: Energetická efektívnosť v maďarských obciach – osvedčené postupy</w:t>
      </w:r>
    </w:p>
    <w:p w14:paraId="1E742A90" w14:textId="77777777" w:rsidR="00404A60" w:rsidRPr="00404A60" w:rsidRDefault="00404A60" w:rsidP="00404A60">
      <w:pPr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</w:pPr>
    </w:p>
    <w:p w14:paraId="69918B0F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Celkový pohľad energetickú efektívnosť v maďarských obciach predstavil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 xml:space="preserve"> generálny tajomník TÖOSZ Ferenc Gyergyák</w:t>
      </w:r>
      <w:r w:rsidRPr="00404A60">
        <w:rPr>
          <w:rFonts w:ascii="Arial" w:hAnsi="Arial" w:cs="Arial"/>
          <w:sz w:val="22"/>
          <w:szCs w:val="22"/>
          <w:lang w:val="sk-SK"/>
        </w:rPr>
        <w:t>.</w:t>
      </w:r>
    </w:p>
    <w:p w14:paraId="0F90B9DC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 úvode svojej prezentácie predstavil Maďarské národné združenie miestnych samospráv (TÖOSZ),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404A60">
        <w:rPr>
          <w:rFonts w:ascii="Arial" w:hAnsi="Arial" w:cs="Arial"/>
          <w:sz w:val="22"/>
          <w:szCs w:val="22"/>
          <w:lang w:val="sk-SK"/>
        </w:rPr>
        <w:t>ktoré založilo 152 obcí 10.02.1989.</w:t>
      </w:r>
      <w:r w:rsidRPr="00404A60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 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V súčasnosti združuje 1624 obcí. TÖOSZ je najväčšie záujmové združenie maďarských samospráv, členmi je viac ako 50 % z 3 178 miestnych samospráv. </w:t>
      </w:r>
    </w:p>
    <w:p w14:paraId="3E36E69E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Predstavil program združenia Practices of Local Government Program (LÖGY), ktorý združenie realizuje od roku 2008. Cieľom programu je zmapovať najlepšie postupy samospráv a predstaviť ich ostatným samosprávam v krajine, prípadne aj medzinárodnej odbornej verejnosti.</w:t>
      </w:r>
    </w:p>
    <w:p w14:paraId="5B3A0FFE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Energetická efektívnosť v obciach:</w:t>
      </w:r>
    </w:p>
    <w:p w14:paraId="5D845FE2" w14:textId="2BDC7ED1" w:rsidR="00404A60" w:rsidRPr="00404A60" w:rsidRDefault="00404A60" w:rsidP="00404A60">
      <w:pPr>
        <w:tabs>
          <w:tab w:val="num" w:pos="72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Cieľ energetickei účinnosti v obciach je zakotvená aj vo vládnom programe 2021-2027. Tento cieľ je pretavený aj do OP Regionálneho a mestského rozvoja Plus (TOP Plusz) s prioritou Územný a sídelný rozvoj OP Plus (TOP Plusz):</w:t>
      </w:r>
    </w:p>
    <w:p w14:paraId="3A5F4E6C" w14:textId="77777777" w:rsidR="00404A60" w:rsidRPr="00404A60" w:rsidRDefault="00404A60" w:rsidP="00404A60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Krajina šetrná ku klíme (ERFA)</w:t>
      </w:r>
    </w:p>
    <w:p w14:paraId="75505F98" w14:textId="77777777" w:rsidR="00404A60" w:rsidRPr="00404A60" w:rsidRDefault="00404A60" w:rsidP="00404A60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komunálne investície do energetiky</w:t>
      </w:r>
    </w:p>
    <w:p w14:paraId="27704CAC" w14:textId="77777777" w:rsidR="00404A60" w:rsidRPr="00404A60" w:rsidRDefault="00404A60" w:rsidP="00404A60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trvalo udržateľný rozvoj miest</w:t>
      </w:r>
    </w:p>
    <w:p w14:paraId="1A3A1F1B" w14:textId="77777777" w:rsidR="00404A60" w:rsidRPr="00404A60" w:rsidRDefault="00404A60" w:rsidP="00404A60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TOP Plusz-1.3.1-21 Podpora stratégií trvalo udržateľného rozvoja miest: 4,92 mld. HUF</w:t>
      </w:r>
    </w:p>
    <w:p w14:paraId="42C80043" w14:textId="77777777" w:rsidR="00404A60" w:rsidRPr="00404A60" w:rsidRDefault="00404A60" w:rsidP="00404A60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TOP Plusz-2.1.1-21 Energetická modernizácia komunálnych budov: 91,05 mld. HUF</w:t>
      </w:r>
    </w:p>
    <w:p w14:paraId="0DBEDFB0" w14:textId="77777777" w:rsidR="00404A60" w:rsidRPr="00404A60" w:rsidRDefault="00404A60" w:rsidP="00404A60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TOP Plusz-2.1.2-21 Udržateľná energetická efektívnosť: 55,13 mld. HUF</w:t>
      </w:r>
    </w:p>
    <w:p w14:paraId="6E981224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Oblasti implementácie osvedčených postupov energetickej účinnosti nájdeme v investíciách do verejných budov. Napríklad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v meste Csanádpalota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 sa uskutočnila energetická modernizácia: zrekonštruovaná budova Kancelárie primátora mesta. V 115-ročnej budove s rozlohou 2639 metrov štvorcových bolo vymenených 390 metrov štvorcových okien a dverí. Bola vykonaná vonkajšia tepelná izolácia objektu a bol modernizovaný vykurovací systém. Vlastná energia použitá na modernizáciu sa zaplatí za 4,5 roka.</w:t>
      </w:r>
    </w:p>
    <w:p w14:paraId="5AFCD98D" w14:textId="3F366D6D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Osvedčené postupy v Maďarsku nájdeme aj v investíciách do vykurovania. Napríklad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v meste Veresegyház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 prebieha vŕtanie termálnych vrtov od roku 1987 - termálne kúpele. Výstavba najrozsiahlejšieho mestského geotermálneho systému v krajine. Chodníky bez snehu a ľadu </w:t>
      </w:r>
      <w:r w:rsidRPr="00404A60">
        <w:rPr>
          <w:rFonts w:ascii="Arial" w:hAnsi="Arial" w:cs="Arial"/>
          <w:sz w:val="22"/>
          <w:szCs w:val="22"/>
          <w:lang w:val="sk-SK"/>
        </w:rPr>
        <w:lastRenderedPageBreak/>
        <w:t>v zime. Geotermálna energia sa používa na vykurovanie škôl, komunitných centier</w:t>
      </w:r>
      <w:r w:rsidR="00FE1E46">
        <w:rPr>
          <w:rFonts w:ascii="Arial" w:hAnsi="Arial" w:cs="Arial"/>
          <w:sz w:val="22"/>
          <w:szCs w:val="22"/>
          <w:lang w:val="sk-SK"/>
        </w:rPr>
        <w:t xml:space="preserve"> a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 v mnohých verejných inštitúciách a podnikoch. </w:t>
      </w:r>
    </w:p>
    <w:p w14:paraId="3132D469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Ďalším príkladom dobrej praxe je projekt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v meste Rácalmás 2016-2017 - Projekt Greening Regions</w:t>
      </w:r>
      <w:r w:rsidRPr="00404A60">
        <w:rPr>
          <w:rFonts w:ascii="Arial" w:hAnsi="Arial" w:cs="Arial"/>
          <w:sz w:val="22"/>
          <w:szCs w:val="22"/>
          <w:lang w:val="sk-SK"/>
        </w:rPr>
        <w:t>. Cieľom projektu bolo zvýšiť energetické povedomie a podporiť využívanie obnoviteľných zdrojov energie v regióne. Vzniklo príkladné partnerstvo, ktorého aktívnymi účastníkmi sú maďarské a nórske samosprávy, podniky a občianska sféra. V rámci projektu podporovaného nórskymi grantmi mesto Rácalmás vyvinul nové, inovatívne služby zohľadňujúce najlepšie postupy nórskych samospráv. Bola zriadená agentúra pre energetický manažment, aby poskytovala miestnemu obyvateľstvu, podnikom a miestnym samosprávam rozsiahle informácie o energeticky šetrných riešeniach. Príklad investície: vybudovanie systému tepelného čerpadla na vykurovanie miestnej materskej školy a škôlky geometrickou energiou.</w:t>
      </w:r>
    </w:p>
    <w:p w14:paraId="060B7FFD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 súlade s medzinárodnými dohodami o ochrane klímy a udržateľnosti sa v Zelenej dohode EÚ počíta s klimaticky neutrálnymi mestami a regiónmi do roku 2050. Dosiahnutie národných klimatických cieľov nie je možné dosiahnuť bez spolupráce miest a obcí.</w:t>
      </w:r>
    </w:p>
    <w:p w14:paraId="0239B719" w14:textId="71AB3D17" w:rsid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</w:p>
    <w:p w14:paraId="73CEC23D" w14:textId="5D35D418" w:rsidR="007B1115" w:rsidRPr="00404A60" w:rsidRDefault="007B1115" w:rsidP="007B1115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Prezentácia dostupná </w:t>
      </w:r>
      <w:hyperlink r:id="rId14" w:history="1"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T</w:t>
        </w:r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U</w:t>
        </w:r>
      </w:hyperlink>
      <w:r>
        <w:rPr>
          <w:rFonts w:ascii="Arial" w:hAnsi="Arial" w:cs="Arial"/>
          <w:sz w:val="22"/>
          <w:szCs w:val="22"/>
          <w:lang w:val="sk-SK"/>
        </w:rPr>
        <w:t xml:space="preserve"> (v maďarskom </w:t>
      </w:r>
      <w:r w:rsidR="00FF3348">
        <w:rPr>
          <w:rFonts w:ascii="Arial" w:hAnsi="Arial" w:cs="Arial"/>
          <w:sz w:val="22"/>
          <w:szCs w:val="22"/>
          <w:lang w:val="sk-SK"/>
        </w:rPr>
        <w:t xml:space="preserve"> a anglickom </w:t>
      </w:r>
      <w:r>
        <w:rPr>
          <w:rFonts w:ascii="Arial" w:hAnsi="Arial" w:cs="Arial"/>
          <w:sz w:val="22"/>
          <w:szCs w:val="22"/>
          <w:lang w:val="sk-SK"/>
        </w:rPr>
        <w:t>jazyku).</w:t>
      </w:r>
    </w:p>
    <w:p w14:paraId="13E2832B" w14:textId="77777777" w:rsidR="007B1115" w:rsidRPr="00404A60" w:rsidRDefault="007B1115" w:rsidP="00404A60">
      <w:pPr>
        <w:rPr>
          <w:rFonts w:ascii="Arial" w:hAnsi="Arial" w:cs="Arial"/>
          <w:sz w:val="22"/>
          <w:szCs w:val="22"/>
          <w:lang w:val="sk-SK"/>
        </w:rPr>
      </w:pPr>
    </w:p>
    <w:p w14:paraId="7B31F7AB" w14:textId="77777777" w:rsidR="00404A60" w:rsidRPr="00404A60" w:rsidRDefault="00404A60" w:rsidP="00404A60">
      <w:pPr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404A60"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  <w:t>Prezentácia 5: Energetická efektívnosť v meste Pápa</w:t>
      </w:r>
    </w:p>
    <w:p w14:paraId="46F7672A" w14:textId="77777777" w:rsidR="00404A60" w:rsidRPr="00404A60" w:rsidRDefault="00404A60" w:rsidP="00404A60">
      <w:pPr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</w:pPr>
    </w:p>
    <w:p w14:paraId="1C3D9365" w14:textId="50749821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Primátor mesta Pápa a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a podpredsed</w:t>
      </w:r>
      <w:r w:rsidR="00FE1E46">
        <w:rPr>
          <w:rFonts w:ascii="Arial" w:hAnsi="Arial" w:cs="Arial"/>
          <w:b/>
          <w:bCs/>
          <w:sz w:val="22"/>
          <w:szCs w:val="22"/>
          <w:lang w:val="sk-SK"/>
        </w:rPr>
        <w:t>a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 xml:space="preserve"> Maďarského národného združenia miestnych samospráv Tamás Áldozó 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vo svojom vystúpení informoval o aktivitách mestá v oblasti energetickej efektívnosti. V centre mestá nie je možné využívať slnečné konektory, keďže mesto sa nachádza na 10. mieste historicky chránených budov v krajine. Najväčšiu energetickú efektívnosť v meste predstavuje investícia do kaštieľa Esterházy, do systému vykurovania. Informoval, že energetická kríza zvýšila náklady aj na termálne kúpele v meste zo 100 000 eur na 500 000 eur ročne. V meste v súčasnosti vypracúvajú núdzový scénar „bez plynu“. Mestské inštitúcie pripravujú scénare od najlacnejších po najdrahšie, aby mesto bolo pripravené reagovať na energetickú krízu a zároveň </w:t>
      </w:r>
      <w:r w:rsidRPr="00404A60">
        <w:rPr>
          <w:rFonts w:ascii="Arial" w:hAnsi="Arial" w:cs="Arial"/>
          <w:sz w:val="22"/>
          <w:szCs w:val="22"/>
        </w:rPr>
        <w:t>boli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 v prevádzke.  V rokoch 2014-2020 mesto investovalo do rozvoja 30 mil. eur, z toho do energetickej efektívnosti 4 mil. eur., čo predstavujú investície do budov, slnečných konektorov a geotermálnej energie. V rokoch 2021-2027 plánuje do rozvoj mesta investovať 30 mil. eur – Udržateľný rozvoj mesta. V súčasnosti prirpavuje stratégiu UMR. Z tejto sumy do energetickej efektívnosti plánuje mesto investovať 2 mil. eur, napríklad do modernizácie verejného osvetlenia. </w:t>
      </w:r>
    </w:p>
    <w:p w14:paraId="014C5B11" w14:textId="77777777" w:rsidR="00404A60" w:rsidRPr="00404A60" w:rsidRDefault="00404A60" w:rsidP="00404A60">
      <w:pPr>
        <w:rPr>
          <w:rFonts w:ascii="Arial" w:hAnsi="Arial" w:cs="Arial"/>
          <w:color w:val="0070C0"/>
          <w:sz w:val="22"/>
          <w:szCs w:val="22"/>
          <w:lang w:val="sk-SK"/>
        </w:rPr>
      </w:pPr>
    </w:p>
    <w:p w14:paraId="694E58B1" w14:textId="77777777" w:rsidR="00404A60" w:rsidRPr="00404A60" w:rsidRDefault="00404A60" w:rsidP="00404A60">
      <w:pPr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404A60"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  <w:t>Prezentácia 6: Odpadové hospodárstvo a energetické hospodárstvo v obciach – zelený odpad ako zdroj</w:t>
      </w:r>
    </w:p>
    <w:p w14:paraId="7DAD5D02" w14:textId="77777777" w:rsidR="00404A60" w:rsidRPr="00404A60" w:rsidRDefault="00404A60" w:rsidP="00404A60">
      <w:pPr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</w:pPr>
    </w:p>
    <w:p w14:paraId="7ED611CE" w14:textId="56D47FBB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FE1E46">
        <w:rPr>
          <w:rFonts w:ascii="Arial" w:hAnsi="Arial" w:cs="Arial"/>
          <w:b/>
          <w:bCs/>
          <w:sz w:val="22"/>
          <w:szCs w:val="22"/>
          <w:lang w:val="sk-SK"/>
        </w:rPr>
        <w:t>Predseda TÖOSZ a primátor mesta Tab Jeno Schmidt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 vo svojom vystúpeni info</w:t>
      </w:r>
      <w:r w:rsidR="00FE1E46">
        <w:rPr>
          <w:rFonts w:ascii="Arial" w:hAnsi="Arial" w:cs="Arial"/>
          <w:sz w:val="22"/>
          <w:szCs w:val="22"/>
          <w:lang w:val="sk-SK"/>
        </w:rPr>
        <w:t>r</w:t>
      </w:r>
      <w:r w:rsidRPr="00404A60">
        <w:rPr>
          <w:rFonts w:ascii="Arial" w:hAnsi="Arial" w:cs="Arial"/>
          <w:sz w:val="22"/>
          <w:szCs w:val="22"/>
          <w:lang w:val="sk-SK"/>
        </w:rPr>
        <w:t>moval o fu</w:t>
      </w:r>
      <w:r w:rsidRPr="00404A60">
        <w:rPr>
          <w:rFonts w:ascii="Arial" w:hAnsi="Arial" w:cs="Arial"/>
          <w:sz w:val="22"/>
          <w:szCs w:val="22"/>
        </w:rPr>
        <w:t>n</w:t>
      </w:r>
      <w:r w:rsidRPr="00404A60">
        <w:rPr>
          <w:rFonts w:ascii="Arial" w:hAnsi="Arial" w:cs="Arial"/>
          <w:sz w:val="22"/>
          <w:szCs w:val="22"/>
          <w:lang w:val="sk-SK"/>
        </w:rPr>
        <w:t>govaní odpadového hospodárstva v Maďarsku z pohľadu miest a obcí. V cele</w:t>
      </w:r>
      <w:r w:rsidRPr="00404A60">
        <w:rPr>
          <w:rFonts w:ascii="Arial" w:hAnsi="Arial" w:cs="Arial"/>
          <w:sz w:val="22"/>
          <w:szCs w:val="22"/>
        </w:rPr>
        <w:t>j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 krajine zabezpečuje odpadové hospodárstvo spoločnosť MOL. Prvá legislatíva týkajúca sa odpadu je z roku 1849, ktorá hovorí, že každý občan má zhromažďovať odpad. V Maďarsku je 3 178 miestnych samospráv a hustota obyvateľov určuje infraštruktúru. Na odpadové hospodárstvo majú obce zazmluvnené firmy do roku 2023. V Ma</w:t>
      </w:r>
      <w:r w:rsidRPr="00404A60">
        <w:rPr>
          <w:rFonts w:ascii="Arial" w:hAnsi="Arial" w:cs="Arial"/>
          <w:sz w:val="22"/>
          <w:szCs w:val="22"/>
        </w:rPr>
        <w:t>ď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arsku sa môže 20% odpadu spaľovať (záväzok voči EÚ). Od 31.1.2023 je povinná separácia biodpadu a od 2025 textilu a nebezpečného odpadu. 35% odpadu sa opätovne spracúva, o niekoľko rokov bude povinnosť opätovného spracovania až 60%. Mesto Táb sa nachádza v blízkosti Balatónu, kde ročne vznikne až 18 mil. tón zeleného oapdu. </w:t>
      </w:r>
    </w:p>
    <w:p w14:paraId="7576043E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</w:p>
    <w:p w14:paraId="4B8DBAD4" w14:textId="77777777" w:rsidR="00404A60" w:rsidRPr="00404A60" w:rsidRDefault="00404A60" w:rsidP="00404A60">
      <w:pPr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404A60"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  <w:t>Prezentácia 7: Online energetický manažment v meste Dubnica nad Váhom</w:t>
      </w:r>
    </w:p>
    <w:p w14:paraId="17453E0B" w14:textId="77777777" w:rsidR="00404A60" w:rsidRPr="00404A60" w:rsidRDefault="00404A60" w:rsidP="00404A60">
      <w:pPr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</w:pPr>
    </w:p>
    <w:p w14:paraId="5669FC78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Ako zbierať a využívať digitálne dáta na účely energetickej efektívnosti v meste predstavil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primátor Dubnice nad Váhom Peter Wolf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3B076495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lastRenderedPageBreak/>
        <w:t xml:space="preserve">Mesto je domovom 23 tisíc obyvateľov a sídlom 3 priemyselných parkov.  </w:t>
      </w:r>
    </w:p>
    <w:p w14:paraId="25AA6B91" w14:textId="50E89C63" w:rsid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Mesto si dalo naištalovať jednotný sotfwér na zber dát a monitorovanie spotreby energie do všetkých rozpočtových a príspevkových organizácií. Prostredníctvom softwéru zaznamenalo mesto únik 500 tis. eur, ktoré dodatočne mesto dodaňovalo. Nevyhnutným predpokladom pre</w:t>
      </w:r>
      <w:r w:rsidRPr="00404A60">
        <w:rPr>
          <w:rFonts w:ascii="Arial" w:hAnsi="Arial" w:cs="Arial"/>
          <w:sz w:val="22"/>
          <w:szCs w:val="22"/>
        </w:rPr>
        <w:t xml:space="preserve"> </w:t>
      </w:r>
      <w:r w:rsidRPr="00404A60">
        <w:rPr>
          <w:rFonts w:ascii="Arial" w:hAnsi="Arial" w:cs="Arial"/>
          <w:sz w:val="22"/>
          <w:szCs w:val="22"/>
          <w:lang w:val="sk-SK"/>
        </w:rPr>
        <w:t>správne rozhodovanie je dostatok informácií. V ideálnom prípade v digitálnej forme - v podobe dát. Ďalším dôležitým faktom je dáta správne vizualizovať – prezentovať. Monitorovanie spotreby energie v meste ukázalo, že najväčší spotrebiteľom je zariadenie pre seniorov, následne zimný štadión. Energetický software môže poskytovať množstvo dát nie len o spotrebe energie, ale aj počte užívateľov, prevádzke, faktúrach, meraniach a uhlíkovej stope. Mesto splupracuje s Technickou univerzitou na Stratégii používania zrojov v</w:t>
      </w:r>
      <w:r w:rsidRPr="00404A60">
        <w:rPr>
          <w:rFonts w:ascii="Arial" w:hAnsi="Arial" w:cs="Arial"/>
          <w:sz w:val="22"/>
          <w:szCs w:val="22"/>
        </w:rPr>
        <w:t> </w:t>
      </w:r>
      <w:r w:rsidRPr="00404A60">
        <w:rPr>
          <w:rFonts w:ascii="Arial" w:hAnsi="Arial" w:cs="Arial"/>
          <w:sz w:val="22"/>
          <w:szCs w:val="22"/>
          <w:lang w:val="sk-SK"/>
        </w:rPr>
        <w:t>meste</w:t>
      </w:r>
      <w:r w:rsidRPr="00404A60">
        <w:rPr>
          <w:rFonts w:ascii="Arial" w:hAnsi="Arial" w:cs="Arial"/>
          <w:sz w:val="22"/>
          <w:szCs w:val="22"/>
        </w:rPr>
        <w:t xml:space="preserve"> </w:t>
      </w:r>
      <w:r w:rsidRPr="00404A60">
        <w:rPr>
          <w:rFonts w:ascii="Arial" w:hAnsi="Arial" w:cs="Arial"/>
          <w:sz w:val="22"/>
          <w:szCs w:val="22"/>
          <w:lang w:val="sk-SK"/>
        </w:rPr>
        <w:t>- nástenka energetického softwaru.</w:t>
      </w:r>
    </w:p>
    <w:p w14:paraId="06C45ECE" w14:textId="3675BA56" w:rsidR="007B1115" w:rsidRDefault="007B1115" w:rsidP="00404A60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6727EBC" w14:textId="7AEFD041" w:rsidR="007B1115" w:rsidRPr="00404A60" w:rsidRDefault="007B1115" w:rsidP="007B1115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Prezentácia dostupná </w:t>
      </w:r>
      <w:hyperlink r:id="rId15" w:history="1"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T</w:t>
        </w:r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U</w:t>
        </w:r>
      </w:hyperlink>
      <w:r>
        <w:rPr>
          <w:rFonts w:ascii="Arial" w:hAnsi="Arial" w:cs="Arial"/>
          <w:sz w:val="22"/>
          <w:szCs w:val="22"/>
          <w:lang w:val="sk-SK"/>
        </w:rPr>
        <w:t>.</w:t>
      </w:r>
    </w:p>
    <w:p w14:paraId="15ED5F70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</w:p>
    <w:p w14:paraId="4E730349" w14:textId="77777777" w:rsidR="00404A60" w:rsidRPr="00404A60" w:rsidRDefault="00404A60" w:rsidP="00404A60">
      <w:pPr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404A60"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  <w:t>Prezentácia 8: Skúsenosti s projektmi energetickej efektívnoti s šetrných voči klíme vo Vespréme</w:t>
      </w:r>
    </w:p>
    <w:p w14:paraId="2D51D8D1" w14:textId="77777777" w:rsidR="00404A60" w:rsidRPr="00404A60" w:rsidRDefault="00404A60" w:rsidP="00404A60">
      <w:pPr>
        <w:rPr>
          <w:rFonts w:ascii="Arial" w:hAnsi="Arial" w:cs="Arial"/>
          <w:b/>
          <w:bCs/>
          <w:color w:val="0070C0"/>
          <w:sz w:val="22"/>
          <w:szCs w:val="22"/>
          <w:u w:val="single"/>
          <w:lang w:val="sk-SK"/>
        </w:rPr>
      </w:pPr>
    </w:p>
    <w:p w14:paraId="37F7A6D6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B1115">
        <w:rPr>
          <w:rFonts w:ascii="Arial" w:hAnsi="Arial" w:cs="Arial"/>
          <w:b/>
          <w:bCs/>
          <w:sz w:val="22"/>
          <w:szCs w:val="22"/>
          <w:lang w:val="sk-SK"/>
        </w:rPr>
        <w:t xml:space="preserve">Koordinátorka medzinárodných projektov v meste Vesprém Renáta Kiss </w:t>
      </w:r>
      <w:r w:rsidRPr="00404A60">
        <w:rPr>
          <w:rFonts w:ascii="Arial" w:hAnsi="Arial" w:cs="Arial"/>
          <w:sz w:val="22"/>
          <w:szCs w:val="22"/>
          <w:lang w:val="sk-SK"/>
        </w:rPr>
        <w:t>predstavili 3 programy energetickej efektívnosti v meste, ktoré mesto využíva</w:t>
      </w:r>
    </w:p>
    <w:p w14:paraId="32C84293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"Operačný program rozvoja územia a miest" (TOP):</w:t>
      </w:r>
    </w:p>
    <w:p w14:paraId="47AECB48" w14:textId="77777777" w:rsidR="00404A60" w:rsidRPr="00404A60" w:rsidRDefault="00404A60" w:rsidP="00404A6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regionálneho a miestneho rozvoja</w:t>
      </w:r>
    </w:p>
    <w:p w14:paraId="17B966BF" w14:textId="77777777" w:rsidR="00404A60" w:rsidRPr="00404A60" w:rsidRDefault="00404A60" w:rsidP="00404A6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</w:rPr>
        <w:t>e</w:t>
      </w:r>
      <w:r w:rsidRPr="00404A60">
        <w:rPr>
          <w:rFonts w:ascii="Arial" w:hAnsi="Arial" w:cs="Arial"/>
          <w:sz w:val="22"/>
          <w:szCs w:val="22"/>
          <w:lang w:val="sk-SK"/>
        </w:rPr>
        <w:t>konomická revitalizácia</w:t>
      </w:r>
    </w:p>
    <w:p w14:paraId="3EA75BD8" w14:textId="77777777" w:rsidR="00404A60" w:rsidRPr="00404A60" w:rsidRDefault="00404A60" w:rsidP="00404A6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zachovanie a vytváranie pracovných miest</w:t>
      </w:r>
    </w:p>
    <w:p w14:paraId="357B389F" w14:textId="77777777" w:rsidR="00404A60" w:rsidRPr="00404A60" w:rsidRDefault="00404A60" w:rsidP="00404A6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zlepšenie obývateľnosti sídiel</w:t>
      </w:r>
    </w:p>
    <w:p w14:paraId="53380CB8" w14:textId="77777777" w:rsidR="00404A60" w:rsidRPr="00404A60" w:rsidRDefault="00404A60" w:rsidP="00404A6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zníženie rozdielov medzi mestom a vidiekom,</w:t>
      </w:r>
    </w:p>
    <w:p w14:paraId="284CCA55" w14:textId="77777777" w:rsidR="00404A60" w:rsidRPr="00404A60" w:rsidRDefault="00404A60" w:rsidP="00404A6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posilnenie udržateľnosti populácie, ochrana rodiny,</w:t>
      </w:r>
    </w:p>
    <w:p w14:paraId="24FAF067" w14:textId="77777777" w:rsidR="00404A60" w:rsidRPr="00404A60" w:rsidRDefault="00404A60" w:rsidP="00404A6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zlepšenie kvality života</w:t>
      </w:r>
    </w:p>
    <w:p w14:paraId="49E56ADF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"Program moderných miest" (MVP):</w:t>
      </w:r>
    </w:p>
    <w:p w14:paraId="0141C37C" w14:textId="77777777" w:rsidR="00404A60" w:rsidRPr="00404A60" w:rsidRDefault="00404A60" w:rsidP="00404A60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Rozvíja úspešné a moderné európske sídla posilnením ponuky, ekonomickej konkurencieschopnosti, zachovaním zdravia, zachovaním kultúrnych tradícií, rozvojom a zachovaním vybudovaného dedičstva veľkých miest a ich spádových oblastí.</w:t>
      </w:r>
    </w:p>
    <w:p w14:paraId="52F510B0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Európska miestna energetická asistencia (ELENA):</w:t>
      </w:r>
    </w:p>
    <w:p w14:paraId="1E8E02F6" w14:textId="77777777" w:rsidR="00404A60" w:rsidRPr="00404A60" w:rsidRDefault="00404A60" w:rsidP="00404A60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 xml:space="preserve">ELENA je spoločnou iniciatívou Európskej investičnej banky (EIB) a Európskej komisie v rámci programu Horizont 2020. ELENA finančne podporuje plnenie technických úloh, ktorých ťažiskom je implementácia programov energetickej efektívnosti, distribuovanej obnoviteľnej energie a mestskej dopravy. </w:t>
      </w:r>
    </w:p>
    <w:p w14:paraId="49146032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Mesto z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 xml:space="preserve"> OP Rzvoja územia a sídiel“ (TOP) </w:t>
      </w:r>
      <w:r w:rsidRPr="00404A60">
        <w:rPr>
          <w:rFonts w:ascii="Arial" w:hAnsi="Arial" w:cs="Arial"/>
          <w:sz w:val="22"/>
          <w:szCs w:val="22"/>
          <w:lang w:val="sk-SK"/>
        </w:rPr>
        <w:t>v roku 2021 realizovalo:</w:t>
      </w:r>
    </w:p>
    <w:p w14:paraId="2DBB4D49" w14:textId="77777777" w:rsidR="00404A60" w:rsidRPr="00404A60" w:rsidRDefault="00404A60" w:rsidP="00404A6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Energetickú modernizáciu Aprófalvi Bölcsőde</w:t>
      </w:r>
    </w:p>
    <w:p w14:paraId="0590AB4F" w14:textId="77777777" w:rsidR="00404A60" w:rsidRPr="00404A60" w:rsidRDefault="00404A60" w:rsidP="00404A6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Obnovu ambulancie detského lekára na ulici Ördögárok</w:t>
      </w:r>
    </w:p>
    <w:p w14:paraId="1A08BB9C" w14:textId="77777777" w:rsidR="00404A60" w:rsidRPr="00404A60" w:rsidRDefault="00404A60" w:rsidP="00404A6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Renováciu ambulancie detského lekára na Vilonyai ulici</w:t>
      </w:r>
    </w:p>
    <w:p w14:paraId="5C121534" w14:textId="77777777" w:rsidR="00404A60" w:rsidRPr="00404A60" w:rsidRDefault="00404A60" w:rsidP="00404A6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Energetická modernizácia metodistickej materskej školy a Domova dôchodcov</w:t>
      </w:r>
    </w:p>
    <w:p w14:paraId="3CC45B4F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Spoločnou vlastnosťou týchto investícii bolo: </w:t>
      </w:r>
    </w:p>
    <w:p w14:paraId="53EFC35C" w14:textId="77777777" w:rsidR="00404A60" w:rsidRPr="00404A60" w:rsidRDefault="00404A60" w:rsidP="00404A60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Vonkajšia tepelná izolácia, izolácia strechy</w:t>
      </w:r>
    </w:p>
    <w:p w14:paraId="30267C36" w14:textId="77777777" w:rsidR="00404A60" w:rsidRPr="00404A60" w:rsidRDefault="00404A60" w:rsidP="00404A60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Nové fasádne dvere a okná (plastové, 3-vrstvové, tepelnoizolačné okná)</w:t>
      </w:r>
    </w:p>
    <w:p w14:paraId="4F77EAA6" w14:textId="77777777" w:rsidR="00404A60" w:rsidRPr="00404A60" w:rsidRDefault="00404A60" w:rsidP="00404A60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Montáž solárnych systémov</w:t>
      </w:r>
    </w:p>
    <w:p w14:paraId="4671C3A3" w14:textId="77777777" w:rsidR="00404A60" w:rsidRPr="00404A60" w:rsidRDefault="00404A60" w:rsidP="00404A60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Renovácia mechanických systémov (kúrenie, vetranie)</w:t>
      </w:r>
    </w:p>
    <w:p w14:paraId="156B1C2F" w14:textId="77777777" w:rsidR="00404A60" w:rsidRPr="00404A60" w:rsidRDefault="00404A60" w:rsidP="00404A60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Výmena strechy, ochrana pred bleskom</w:t>
      </w:r>
    </w:p>
    <w:p w14:paraId="4924F3FE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Program moderných miest“ (MVP) – 4 hlavné rozvojové cieľové oblasti</w:t>
      </w:r>
    </w:p>
    <w:p w14:paraId="29B1249A" w14:textId="77777777" w:rsidR="00404A60" w:rsidRPr="00404A60" w:rsidRDefault="00404A60" w:rsidP="00404A60">
      <w:pPr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 xml:space="preserve">Posilnenie hospodárskej konkurencieschopnosti </w:t>
      </w:r>
      <w:r w:rsidRPr="00404A60">
        <w:rPr>
          <w:rFonts w:ascii="Arial" w:hAnsi="Arial" w:cs="Arial"/>
          <w:sz w:val="22"/>
          <w:szCs w:val="22"/>
          <w:lang w:val="sk-SK"/>
        </w:rPr>
        <w:t>Vesprému a jeho regiónu</w:t>
      </w:r>
    </w:p>
    <w:p w14:paraId="0BD5ECCF" w14:textId="77777777" w:rsidR="00404A60" w:rsidRPr="00404A60" w:rsidRDefault="00404A60" w:rsidP="00404A60">
      <w:pPr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 xml:space="preserve">Rozvoj dopravnej infraštruktúry </w:t>
      </w:r>
      <w:r w:rsidRPr="00404A60">
        <w:rPr>
          <w:rFonts w:ascii="Arial" w:hAnsi="Arial" w:cs="Arial"/>
          <w:sz w:val="22"/>
          <w:szCs w:val="22"/>
          <w:lang w:val="sk-SK"/>
        </w:rPr>
        <w:t>mesta a jeho regiónu</w:t>
      </w:r>
    </w:p>
    <w:p w14:paraId="28EA71E8" w14:textId="77777777" w:rsidR="00404A60" w:rsidRPr="00404A60" w:rsidRDefault="00404A60" w:rsidP="00404A60">
      <w:pPr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lastRenderedPageBreak/>
        <w:t xml:space="preserve">Vesprém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a podpora zvýšenia jeho turistickej atrakcie</w:t>
      </w:r>
      <w:r w:rsidRPr="00404A60">
        <w:rPr>
          <w:rFonts w:ascii="Arial" w:hAnsi="Arial" w:cs="Arial"/>
          <w:sz w:val="22"/>
          <w:szCs w:val="22"/>
          <w:lang w:val="sk-SK"/>
        </w:rPr>
        <w:t>, uznanie ich úlohy v živote mesta</w:t>
      </w:r>
    </w:p>
    <w:p w14:paraId="4520874E" w14:textId="77777777" w:rsidR="00404A60" w:rsidRPr="00404A60" w:rsidRDefault="00404A60" w:rsidP="00404A60">
      <w:pPr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Podpora mestskej komunity a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športového života</w:t>
      </w:r>
    </w:p>
    <w:p w14:paraId="0BF393C1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 rámci tohto programu mesto realizovalo:</w:t>
      </w:r>
    </w:p>
    <w:p w14:paraId="1A78137B" w14:textId="77777777" w:rsidR="00404A60" w:rsidRPr="00404A60" w:rsidRDefault="00404A60" w:rsidP="00404A60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Obnovu a rozšírenie ZUŠ Antala Csermáka</w:t>
      </w:r>
    </w:p>
    <w:p w14:paraId="0B900A49" w14:textId="77777777" w:rsidR="00404A60" w:rsidRPr="00404A60" w:rsidRDefault="00404A60" w:rsidP="00404A60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Výstavbu priemyselného parku Veszprém – „Szakipark“.</w:t>
      </w:r>
    </w:p>
    <w:p w14:paraId="2FE759A1" w14:textId="77777777" w:rsidR="00404A60" w:rsidRPr="00404A60" w:rsidRDefault="00404A60" w:rsidP="00404A60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Rozvoj cyklistickej infraštruktúry</w:t>
      </w:r>
    </w:p>
    <w:p w14:paraId="5966376D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Rozvoj cyklistickej siete pre dostupnosť Balatonu, Gyulafirátótu a Márkó-Bándu:</w:t>
      </w:r>
    </w:p>
    <w:p w14:paraId="41692471" w14:textId="77777777" w:rsidR="00404A60" w:rsidRPr="00404A60" w:rsidRDefault="00404A60" w:rsidP="00404A60">
      <w:pPr>
        <w:pStyle w:val="ListParagraph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Celkom 45 km regionálnych cyklotrás – takmer 3,5 miliardy HUF (TOP)</w:t>
      </w:r>
    </w:p>
    <w:p w14:paraId="79A7E6B4" w14:textId="77777777" w:rsidR="00404A60" w:rsidRPr="00404A60" w:rsidRDefault="00404A60" w:rsidP="00404A60">
      <w:pPr>
        <w:pStyle w:val="ListParagraph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Z toho 14 km leží v administratívnych hraniciach mesta Vesprém</w:t>
      </w:r>
    </w:p>
    <w:p w14:paraId="394A778F" w14:textId="77777777" w:rsidR="00404A60" w:rsidRPr="00404A60" w:rsidRDefault="00404A60" w:rsidP="00404A60">
      <w:pPr>
        <w:pStyle w:val="ListParagraph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Nepretržité cyklistické prepojenia od roku 2019</w:t>
      </w:r>
    </w:p>
    <w:p w14:paraId="78D97FA3" w14:textId="77777777" w:rsidR="00404A60" w:rsidRPr="00404A60" w:rsidRDefault="00404A60" w:rsidP="00404A60">
      <w:pPr>
        <w:pStyle w:val="ListParagraph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  <w:r w:rsidRPr="00404A60">
        <w:rPr>
          <w:rFonts w:ascii="Arial" w:hAnsi="Arial" w:cs="Arial"/>
          <w:lang w:val="sk-SK"/>
        </w:rPr>
        <w:t>Predpokladané ukončenie koncom roka 2022</w:t>
      </w:r>
    </w:p>
    <w:p w14:paraId="4B02967C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Elektrobusy pre čistejší a zelenší Vesprém!</w:t>
      </w:r>
    </w:p>
    <w:p w14:paraId="3D540011" w14:textId="77777777" w:rsidR="00404A60" w:rsidRPr="00404A60" w:rsidRDefault="00404A60" w:rsidP="00404A60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Zvyšovanie úrovne služieb</w:t>
      </w:r>
    </w:p>
    <w:p w14:paraId="5A937107" w14:textId="77777777" w:rsidR="00404A60" w:rsidRPr="00404A60" w:rsidRDefault="00404A60" w:rsidP="00404A60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Zaťaženie životného prostredia a zníženie škodlivých emisií</w:t>
      </w:r>
    </w:p>
    <w:p w14:paraId="6564061D" w14:textId="77777777" w:rsidR="00404A60" w:rsidRPr="00404A60" w:rsidRDefault="00404A60" w:rsidP="00404A60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Nákup 5 čisto elektrických sólo autobusov</w:t>
      </w:r>
    </w:p>
    <w:p w14:paraId="494B67F1" w14:textId="77777777" w:rsidR="00404A60" w:rsidRPr="00404A60" w:rsidRDefault="00404A60" w:rsidP="00404A60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Umožňuje stiahnuť z obehu 6 samostatných dieselových autobusov EURO 3</w:t>
      </w:r>
    </w:p>
    <w:p w14:paraId="6CDF677C" w14:textId="77777777" w:rsidR="00404A60" w:rsidRPr="00404A60" w:rsidRDefault="00404A60" w:rsidP="00404A60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je možné ušetriť 482,5 ton CO </w:t>
      </w:r>
      <w:r w:rsidRPr="00404A60">
        <w:rPr>
          <w:rFonts w:ascii="Arial" w:hAnsi="Arial" w:cs="Arial"/>
          <w:sz w:val="22"/>
          <w:szCs w:val="22"/>
          <w:vertAlign w:val="superscript"/>
          <w:lang w:val="sk-SK"/>
        </w:rPr>
        <w:t>2</w:t>
      </w:r>
    </w:p>
    <w:p w14:paraId="5191DF34" w14:textId="0AF2C070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Skúsenosti s projekt</w:t>
      </w:r>
      <w:r w:rsidR="00C743E5">
        <w:rPr>
          <w:rFonts w:ascii="Arial" w:hAnsi="Arial" w:cs="Arial"/>
          <w:b/>
          <w:bCs/>
          <w:sz w:val="22"/>
          <w:szCs w:val="22"/>
          <w:lang w:val="sk-SK"/>
        </w:rPr>
        <w:t>a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>mi energetickej efektívnosti a šetrných voči klíme v  meste Veszprém</w:t>
      </w:r>
    </w:p>
    <w:p w14:paraId="642CC21A" w14:textId="77777777" w:rsidR="00404A60" w:rsidRPr="00404A60" w:rsidRDefault="00404A60" w:rsidP="00404A60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404A60">
        <w:rPr>
          <w:rFonts w:ascii="Arial" w:hAnsi="Arial" w:cs="Arial"/>
          <w:b/>
          <w:bCs/>
          <w:sz w:val="22"/>
          <w:szCs w:val="22"/>
          <w:lang w:val="sk-SK"/>
        </w:rPr>
        <w:t>Spolu so stratégiou</w:t>
      </w:r>
    </w:p>
    <w:p w14:paraId="241F5516" w14:textId="77777777" w:rsidR="00404A60" w:rsidRPr="00404A60" w:rsidRDefault="00404A60" w:rsidP="00404A6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Veszprém 2030 – Stratégia rozvoja miest</w:t>
      </w:r>
    </w:p>
    <w:p w14:paraId="610FE736" w14:textId="77777777" w:rsidR="00404A60" w:rsidRPr="00404A60" w:rsidRDefault="00404A60" w:rsidP="00404A6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Ekonomický program (2020 – 2025)</w:t>
      </w:r>
    </w:p>
    <w:p w14:paraId="3A25E1A0" w14:textId="77777777" w:rsidR="00404A60" w:rsidRPr="00404A60" w:rsidRDefault="00404A60" w:rsidP="00404A6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Stratégia zeleného povrchu:</w:t>
      </w:r>
    </w:p>
    <w:p w14:paraId="5A4D9D40" w14:textId="77777777" w:rsidR="00404A60" w:rsidRPr="00404A60" w:rsidRDefault="00404A60" w:rsidP="00404A6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Trvalo udržateľná klíma a akčný plán (SECAP)</w:t>
      </w:r>
    </w:p>
    <w:p w14:paraId="6E969031" w14:textId="77777777" w:rsidR="00404A60" w:rsidRPr="00404A60" w:rsidRDefault="00404A60" w:rsidP="00404A6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Integrovaná stratégia rozvoja miest (ITS)</w:t>
      </w:r>
    </w:p>
    <w:p w14:paraId="21268FE1" w14:textId="77777777" w:rsidR="00404A60" w:rsidRPr="00404A60" w:rsidRDefault="00404A60" w:rsidP="00404A6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Stratégia trvalo udržateľného rozvoja miest (FVS) – prebieha</w:t>
      </w:r>
    </w:p>
    <w:p w14:paraId="5F6A69C0" w14:textId="77777777" w:rsidR="00404A60" w:rsidRPr="00404A60" w:rsidRDefault="00FF3348" w:rsidP="00404A6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sk-SK"/>
        </w:rPr>
      </w:pPr>
      <w:hyperlink r:id="rId16" w:history="1">
        <w:r w:rsidR="00404A60" w:rsidRPr="00404A60">
          <w:rPr>
            <w:rStyle w:val="Hyperlink"/>
            <w:rFonts w:ascii="Arial" w:eastAsiaTheme="majorEastAsia" w:hAnsi="Arial" w:cs="Arial"/>
            <w:sz w:val="22"/>
            <w:szCs w:val="22"/>
            <w:lang w:val="sk-SK"/>
          </w:rPr>
          <w:t>https://veszprem.hu/onkormanyzat/strategia</w:t>
        </w:r>
      </w:hyperlink>
    </w:p>
    <w:p w14:paraId="1067E1BD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</w:rPr>
      </w:pPr>
    </w:p>
    <w:p w14:paraId="7C4BD437" w14:textId="1DCD45D5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Mesto má svoj vlastný program: </w:t>
      </w:r>
      <w:r w:rsidRPr="00404A60">
        <w:rPr>
          <w:rFonts w:ascii="Arial" w:hAnsi="Arial" w:cs="Arial"/>
          <w:b/>
          <w:bCs/>
          <w:sz w:val="22"/>
          <w:szCs w:val="22"/>
          <w:lang w:val="sk-SK"/>
        </w:rPr>
        <w:t xml:space="preserve">Projekt Globálne ciele pre mestá, </w:t>
      </w:r>
      <w:r w:rsidRPr="00404A60">
        <w:rPr>
          <w:rFonts w:ascii="Arial" w:hAnsi="Arial" w:cs="Arial"/>
          <w:sz w:val="22"/>
          <w:szCs w:val="22"/>
          <w:lang w:val="sk-SK"/>
        </w:rPr>
        <w:t>ktorý vychádza z Agendy 203</w:t>
      </w:r>
      <w:r w:rsidR="00C743E5">
        <w:rPr>
          <w:rFonts w:ascii="Arial" w:hAnsi="Arial" w:cs="Arial"/>
          <w:sz w:val="22"/>
          <w:szCs w:val="22"/>
          <w:lang w:val="sk-SK"/>
        </w:rPr>
        <w:t>0</w:t>
      </w:r>
      <w:r w:rsidRPr="00404A60">
        <w:rPr>
          <w:rFonts w:ascii="Arial" w:hAnsi="Arial" w:cs="Arial"/>
          <w:sz w:val="22"/>
          <w:szCs w:val="22"/>
          <w:lang w:val="sk-SK"/>
        </w:rPr>
        <w:t xml:space="preserve"> pre udržateľný rozvoj. Prioritami mesta sú: udržateľná doprava, zelené plochy, udržateľné vody a príjimanjäce mesto.</w:t>
      </w:r>
    </w:p>
    <w:p w14:paraId="041949E8" w14:textId="77777777" w:rsidR="00404A60" w:rsidRP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 xml:space="preserve">Do roku 2030 Vesprém má byť mesto  zachovávajúce svoje prírodné a vybudované dedičstvo, výrazne zvýši vodozádržnú schopnosť mesta a ďalej zlepší kvalitu a funkcie zelených plôch, zapojí mestské komunity do plánovania, rozhodovania, implementácie a údržby s cieľom zlepšiť zmysel spolupatričnosti a kvality života ľudí, ktorí tu žijú. </w:t>
      </w:r>
    </w:p>
    <w:p w14:paraId="5934E993" w14:textId="14C76324" w:rsidR="00404A60" w:rsidRDefault="00404A60" w:rsidP="00404A6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04A60">
        <w:rPr>
          <w:rFonts w:ascii="Arial" w:hAnsi="Arial" w:cs="Arial"/>
          <w:sz w:val="22"/>
          <w:szCs w:val="22"/>
          <w:lang w:val="sk-SK"/>
        </w:rPr>
        <w:t>Vesprém je Euróspke hlavné mesto kultúry 2023.</w:t>
      </w:r>
    </w:p>
    <w:p w14:paraId="4033244F" w14:textId="0504C870" w:rsidR="007B1115" w:rsidRDefault="007B1115" w:rsidP="00404A60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06F0418B" w14:textId="4D11182D" w:rsidR="007B1115" w:rsidRPr="00404A60" w:rsidRDefault="007B1115" w:rsidP="007B1115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Prezentácia dostupná </w:t>
      </w:r>
      <w:hyperlink r:id="rId17" w:history="1"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T</w:t>
        </w:r>
        <w:r w:rsidRPr="007B1115">
          <w:rPr>
            <w:rStyle w:val="Hyperlink"/>
            <w:rFonts w:ascii="Arial" w:hAnsi="Arial" w:cs="Arial"/>
            <w:sz w:val="22"/>
            <w:szCs w:val="22"/>
            <w:lang w:val="sk-SK"/>
          </w:rPr>
          <w:t>U</w:t>
        </w:r>
      </w:hyperlink>
      <w:r>
        <w:rPr>
          <w:rFonts w:ascii="Arial" w:hAnsi="Arial" w:cs="Arial"/>
          <w:sz w:val="22"/>
          <w:szCs w:val="22"/>
          <w:lang w:val="sk-SK"/>
        </w:rPr>
        <w:t xml:space="preserve"> (v maďarskom jazyku).</w:t>
      </w:r>
    </w:p>
    <w:p w14:paraId="5DF19141" w14:textId="77777777" w:rsidR="00404A60" w:rsidRPr="00404A60" w:rsidRDefault="00404A60" w:rsidP="00404A60">
      <w:pPr>
        <w:rPr>
          <w:rFonts w:ascii="Arial" w:hAnsi="Arial" w:cs="Arial"/>
          <w:sz w:val="22"/>
          <w:szCs w:val="22"/>
          <w:lang w:val="sk-SK"/>
        </w:rPr>
      </w:pPr>
    </w:p>
    <w:p w14:paraId="7EF6EB55" w14:textId="77777777" w:rsidR="00C743E5" w:rsidRDefault="00C743E5" w:rsidP="00404A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Autor: Združenie miest a obcá Slovenska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72AADE8" w14:textId="33ACE5A5" w:rsidR="00CA09C5" w:rsidRDefault="00C743E5" w:rsidP="00404A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07/2022</w:t>
      </w:r>
    </w:p>
    <w:sectPr w:rsidR="00CA09C5" w:rsidSect="00C319EC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4A6F" w14:textId="77777777" w:rsidR="00C876B9" w:rsidRDefault="00C876B9">
      <w:r>
        <w:separator/>
      </w:r>
    </w:p>
  </w:endnote>
  <w:endnote w:type="continuationSeparator" w:id="0">
    <w:p w14:paraId="544B8330" w14:textId="77777777" w:rsidR="00C876B9" w:rsidRDefault="00C8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7723" w14:textId="77777777" w:rsidR="000D0C3E" w:rsidRDefault="000D0C3E" w:rsidP="000D0C3E">
    <w:pPr>
      <w:pStyle w:val="ListParagraph"/>
      <w:spacing w:after="0" w:line="240" w:lineRule="auto"/>
      <w:jc w:val="center"/>
      <w:rPr>
        <w:color w:val="16A6BA"/>
        <w:sz w:val="18"/>
        <w:szCs w:val="18"/>
        <w:lang w:val="sk-SK"/>
      </w:rPr>
    </w:pPr>
  </w:p>
  <w:p w14:paraId="354F4B9D" w14:textId="77777777" w:rsidR="00CA09C5" w:rsidRPr="00CA09C5" w:rsidRDefault="000D0C3E" w:rsidP="00CA09C5">
    <w:pPr>
      <w:pStyle w:val="ListParagraph"/>
      <w:jc w:val="center"/>
      <w:rPr>
        <w:noProof/>
        <w:color w:val="16A6BA"/>
        <w:sz w:val="18"/>
        <w:szCs w:val="18"/>
        <w:lang w:eastAsia="hu-HU"/>
      </w:rPr>
    </w:pPr>
    <w:r w:rsidRPr="003C767C">
      <w:rPr>
        <w:noProof/>
        <w:color w:val="16A6BA"/>
        <w:sz w:val="18"/>
        <w:szCs w:val="18"/>
        <w:lang w:eastAsia="hu-HU"/>
      </w:rPr>
      <w:drawing>
        <wp:anchor distT="0" distB="0" distL="114300" distR="114300" simplePos="0" relativeHeight="251660288" behindDoc="1" locked="0" layoutInCell="1" allowOverlap="1" wp14:anchorId="3A8638A8" wp14:editId="4A384C23">
          <wp:simplePos x="0" y="0"/>
          <wp:positionH relativeFrom="margin">
            <wp:align>left</wp:align>
          </wp:positionH>
          <wp:positionV relativeFrom="paragraph">
            <wp:posOffset>-25400</wp:posOffset>
          </wp:positionV>
          <wp:extent cx="1516380" cy="696019"/>
          <wp:effectExtent l="0" t="0" r="7620" b="8890"/>
          <wp:wrapTight wrapText="bothSides">
            <wp:wrapPolygon edited="0">
              <wp:start x="0" y="0"/>
              <wp:lineTo x="0" y="21285"/>
              <wp:lineTo x="21437" y="21285"/>
              <wp:lineTo x="21437" y="0"/>
              <wp:lineTo x="0" y="0"/>
            </wp:wrapPolygon>
          </wp:wrapTight>
          <wp:docPr id="13" name="Kép 13" descr="https://s3.eu-central-1.amazonaws.com/uploads.mangoweb.org/shared-prod/visegradfund.org/uploads/2018/01/visegrad_fund_logo_blue_800px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3.eu-central-1.amazonaws.com/uploads.mangoweb.org/shared-prod/visegradfund.org/uploads/2018/01/visegrad_fund_logo_blue_800px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69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9C5" w:rsidRPr="00CA09C5">
      <w:t xml:space="preserve"> </w:t>
    </w:r>
    <w:r w:rsidR="00CA09C5" w:rsidRPr="00CA09C5">
      <w:rPr>
        <w:noProof/>
        <w:color w:val="16A6BA"/>
        <w:sz w:val="18"/>
        <w:szCs w:val="18"/>
        <w:lang w:eastAsia="hu-HU"/>
      </w:rPr>
      <w:t>The project is co-financed by the Governments of Czechia, Hungary,</w:t>
    </w:r>
  </w:p>
  <w:p w14:paraId="3E148DF7" w14:textId="77777777" w:rsidR="00CA09C5" w:rsidRPr="00CA09C5" w:rsidRDefault="00CA09C5" w:rsidP="00CA09C5">
    <w:pPr>
      <w:pStyle w:val="ListParagraph"/>
      <w:jc w:val="center"/>
      <w:rPr>
        <w:noProof/>
        <w:color w:val="16A6BA"/>
        <w:sz w:val="18"/>
        <w:szCs w:val="18"/>
        <w:lang w:eastAsia="hu-HU"/>
      </w:rPr>
    </w:pPr>
    <w:r w:rsidRPr="00CA09C5">
      <w:rPr>
        <w:noProof/>
        <w:color w:val="16A6BA"/>
        <w:sz w:val="18"/>
        <w:szCs w:val="18"/>
        <w:lang w:eastAsia="hu-HU"/>
      </w:rPr>
      <w:t>Poland and Slovakia through Visegrad Grants from International</w:t>
    </w:r>
  </w:p>
  <w:p w14:paraId="359724F5" w14:textId="77777777" w:rsidR="00CA09C5" w:rsidRPr="00CA09C5" w:rsidRDefault="00CA09C5" w:rsidP="00CA09C5">
    <w:pPr>
      <w:pStyle w:val="ListParagraph"/>
      <w:jc w:val="center"/>
      <w:rPr>
        <w:noProof/>
        <w:color w:val="16A6BA"/>
        <w:sz w:val="18"/>
        <w:szCs w:val="18"/>
        <w:lang w:eastAsia="hu-HU"/>
      </w:rPr>
    </w:pPr>
    <w:r w:rsidRPr="00CA09C5">
      <w:rPr>
        <w:noProof/>
        <w:color w:val="16A6BA"/>
        <w:sz w:val="18"/>
        <w:szCs w:val="18"/>
        <w:lang w:eastAsia="hu-HU"/>
      </w:rPr>
      <w:t>Visegrad Fund. The mission of the fund is to advance ideas for</w:t>
    </w:r>
  </w:p>
  <w:p w14:paraId="027197E2" w14:textId="77777777" w:rsidR="000D0C3E" w:rsidRPr="003C767C" w:rsidRDefault="00CA09C5" w:rsidP="00CA09C5">
    <w:pPr>
      <w:pStyle w:val="ListParagraph"/>
      <w:spacing w:after="0" w:line="240" w:lineRule="auto"/>
      <w:jc w:val="center"/>
      <w:rPr>
        <w:color w:val="16A6BA"/>
        <w:sz w:val="18"/>
        <w:szCs w:val="18"/>
        <w:lang w:val="sk-SK"/>
      </w:rPr>
    </w:pPr>
    <w:r w:rsidRPr="00CA09C5">
      <w:rPr>
        <w:noProof/>
        <w:color w:val="16A6BA"/>
        <w:sz w:val="18"/>
        <w:szCs w:val="18"/>
        <w:lang w:eastAsia="hu-HU"/>
      </w:rPr>
      <w:t>sustainable regional cooperation in Central Europe.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2F9A" w14:textId="77777777" w:rsidR="00D22342" w:rsidRDefault="00D22342" w:rsidP="00D22342">
    <w:pPr>
      <w:pStyle w:val="ListParagraph"/>
      <w:spacing w:after="0" w:line="240" w:lineRule="auto"/>
      <w:jc w:val="center"/>
      <w:rPr>
        <w:color w:val="16A6BA"/>
        <w:sz w:val="18"/>
        <w:szCs w:val="18"/>
        <w:lang w:val="sk-SK"/>
      </w:rPr>
    </w:pPr>
  </w:p>
  <w:p w14:paraId="30D8F1BA" w14:textId="77777777" w:rsidR="00D22342" w:rsidRPr="00CA09C5" w:rsidRDefault="00D22342" w:rsidP="00D22342">
    <w:pPr>
      <w:pStyle w:val="ListParagraph"/>
      <w:jc w:val="center"/>
      <w:rPr>
        <w:noProof/>
        <w:color w:val="16A6BA"/>
        <w:sz w:val="18"/>
        <w:szCs w:val="18"/>
        <w:lang w:eastAsia="hu-HU"/>
      </w:rPr>
    </w:pPr>
    <w:r w:rsidRPr="003C767C">
      <w:rPr>
        <w:noProof/>
        <w:color w:val="16A6BA"/>
        <w:sz w:val="18"/>
        <w:szCs w:val="18"/>
        <w:lang w:eastAsia="hu-HU"/>
      </w:rPr>
      <w:drawing>
        <wp:anchor distT="0" distB="0" distL="114300" distR="114300" simplePos="0" relativeHeight="251672576" behindDoc="1" locked="0" layoutInCell="1" allowOverlap="1" wp14:anchorId="3C3D20DD" wp14:editId="1022A2B1">
          <wp:simplePos x="0" y="0"/>
          <wp:positionH relativeFrom="margin">
            <wp:align>left</wp:align>
          </wp:positionH>
          <wp:positionV relativeFrom="paragraph">
            <wp:posOffset>-25400</wp:posOffset>
          </wp:positionV>
          <wp:extent cx="1516380" cy="696019"/>
          <wp:effectExtent l="0" t="0" r="7620" b="8890"/>
          <wp:wrapTight wrapText="bothSides">
            <wp:wrapPolygon edited="0">
              <wp:start x="0" y="0"/>
              <wp:lineTo x="0" y="21285"/>
              <wp:lineTo x="21437" y="21285"/>
              <wp:lineTo x="21437" y="0"/>
              <wp:lineTo x="0" y="0"/>
            </wp:wrapPolygon>
          </wp:wrapTight>
          <wp:docPr id="9" name="Kép 9" descr="https://s3.eu-central-1.amazonaws.com/uploads.mangoweb.org/shared-prod/visegradfund.org/uploads/2018/01/visegrad_fund_logo_blue_800px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3.eu-central-1.amazonaws.com/uploads.mangoweb.org/shared-prod/visegradfund.org/uploads/2018/01/visegrad_fund_logo_blue_800px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69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09C5">
      <w:t xml:space="preserve"> </w:t>
    </w:r>
    <w:r w:rsidRPr="00CA09C5">
      <w:rPr>
        <w:noProof/>
        <w:color w:val="16A6BA"/>
        <w:sz w:val="18"/>
        <w:szCs w:val="18"/>
        <w:lang w:eastAsia="hu-HU"/>
      </w:rPr>
      <w:t>The project is co-financed by the Governments of Czechia, Hungary,</w:t>
    </w:r>
  </w:p>
  <w:p w14:paraId="0DBE2AB0" w14:textId="77777777" w:rsidR="00D22342" w:rsidRPr="00CA09C5" w:rsidRDefault="00D22342" w:rsidP="00D22342">
    <w:pPr>
      <w:pStyle w:val="ListParagraph"/>
      <w:jc w:val="center"/>
      <w:rPr>
        <w:noProof/>
        <w:color w:val="16A6BA"/>
        <w:sz w:val="18"/>
        <w:szCs w:val="18"/>
        <w:lang w:eastAsia="hu-HU"/>
      </w:rPr>
    </w:pPr>
    <w:r w:rsidRPr="00CA09C5">
      <w:rPr>
        <w:noProof/>
        <w:color w:val="16A6BA"/>
        <w:sz w:val="18"/>
        <w:szCs w:val="18"/>
        <w:lang w:eastAsia="hu-HU"/>
      </w:rPr>
      <w:t>Poland and Slovakia through Visegrad Grants from International</w:t>
    </w:r>
  </w:p>
  <w:p w14:paraId="53786BAB" w14:textId="77777777" w:rsidR="00D22342" w:rsidRPr="00CA09C5" w:rsidRDefault="00D22342" w:rsidP="00D22342">
    <w:pPr>
      <w:pStyle w:val="ListParagraph"/>
      <w:jc w:val="center"/>
      <w:rPr>
        <w:noProof/>
        <w:color w:val="16A6BA"/>
        <w:sz w:val="18"/>
        <w:szCs w:val="18"/>
        <w:lang w:eastAsia="hu-HU"/>
      </w:rPr>
    </w:pPr>
    <w:r w:rsidRPr="00CA09C5">
      <w:rPr>
        <w:noProof/>
        <w:color w:val="16A6BA"/>
        <w:sz w:val="18"/>
        <w:szCs w:val="18"/>
        <w:lang w:eastAsia="hu-HU"/>
      </w:rPr>
      <w:t>Visegrad Fund. The mission of the fund is to advance ideas for</w:t>
    </w:r>
  </w:p>
  <w:p w14:paraId="4DC74EC5" w14:textId="77777777" w:rsidR="00D22342" w:rsidRPr="003C767C" w:rsidRDefault="00D22342" w:rsidP="00D22342">
    <w:pPr>
      <w:pStyle w:val="ListParagraph"/>
      <w:spacing w:after="0" w:line="240" w:lineRule="auto"/>
      <w:jc w:val="center"/>
      <w:rPr>
        <w:color w:val="16A6BA"/>
        <w:sz w:val="18"/>
        <w:szCs w:val="18"/>
        <w:lang w:val="sk-SK"/>
      </w:rPr>
    </w:pPr>
    <w:r w:rsidRPr="00CA09C5">
      <w:rPr>
        <w:noProof/>
        <w:color w:val="16A6BA"/>
        <w:sz w:val="18"/>
        <w:szCs w:val="18"/>
        <w:lang w:eastAsia="hu-HU"/>
      </w:rPr>
      <w:t>sustainable regional cooperation in Central Europe.</w:t>
    </w:r>
  </w:p>
  <w:p w14:paraId="7225B8A0" w14:textId="77777777" w:rsidR="00D22342" w:rsidRPr="00D22342" w:rsidRDefault="00D22342">
    <w:pPr>
      <w:pStyle w:val="Footer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3F94" w14:textId="77777777" w:rsidR="00C876B9" w:rsidRDefault="00C876B9">
      <w:r>
        <w:separator/>
      </w:r>
    </w:p>
  </w:footnote>
  <w:footnote w:type="continuationSeparator" w:id="0">
    <w:p w14:paraId="4175F841" w14:textId="77777777" w:rsidR="00C876B9" w:rsidRDefault="00C8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3077" w14:textId="77777777" w:rsidR="00CA09C5" w:rsidRDefault="00CA09C5" w:rsidP="00CA09C5">
    <w:pPr>
      <w:spacing w:after="200" w:line="276" w:lineRule="auto"/>
    </w:pPr>
    <w:r>
      <w:br w:type="page"/>
    </w:r>
    <w:r w:rsidRPr="002E24DF">
      <w:rPr>
        <w:noProof/>
      </w:rPr>
      <w:drawing>
        <wp:anchor distT="0" distB="0" distL="114300" distR="114300" simplePos="0" relativeHeight="251665408" behindDoc="1" locked="0" layoutInCell="1" allowOverlap="1" wp14:anchorId="792F5F38" wp14:editId="2964D75D">
          <wp:simplePos x="0" y="0"/>
          <wp:positionH relativeFrom="column">
            <wp:posOffset>1675130</wp:posOffset>
          </wp:positionH>
          <wp:positionV relativeFrom="paragraph">
            <wp:posOffset>-220980</wp:posOffset>
          </wp:positionV>
          <wp:extent cx="1017270" cy="783590"/>
          <wp:effectExtent l="0" t="0" r="0" b="0"/>
          <wp:wrapTight wrapText="bothSides">
            <wp:wrapPolygon edited="0">
              <wp:start x="0" y="0"/>
              <wp:lineTo x="0" y="21005"/>
              <wp:lineTo x="21034" y="21005"/>
              <wp:lineTo x="21034" y="0"/>
              <wp:lineTo x="0" y="0"/>
            </wp:wrapPolygon>
          </wp:wrapTight>
          <wp:docPr id="14" name="Kép 13" descr="C:\Users\sabjank\Desktop\81338355_2503285276557325_17986825678435123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bjank\Desktop\81338355_2503285276557325_179868256784351232_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54"/>
                  <a:stretch/>
                </pic:blipFill>
                <pic:spPr bwMode="auto">
                  <a:xfrm>
                    <a:off x="0" y="0"/>
                    <a:ext cx="10172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4DF">
      <w:rPr>
        <w:noProof/>
      </w:rPr>
      <w:drawing>
        <wp:anchor distT="0" distB="0" distL="114300" distR="114300" simplePos="0" relativeHeight="251663360" behindDoc="1" locked="0" layoutInCell="1" allowOverlap="1" wp14:anchorId="1CA6D38B" wp14:editId="470E3D48">
          <wp:simplePos x="0" y="0"/>
          <wp:positionH relativeFrom="column">
            <wp:posOffset>3515360</wp:posOffset>
          </wp:positionH>
          <wp:positionV relativeFrom="paragraph">
            <wp:posOffset>5715</wp:posOffset>
          </wp:positionV>
          <wp:extent cx="891540" cy="527050"/>
          <wp:effectExtent l="0" t="0" r="3810" b="6350"/>
          <wp:wrapTight wrapText="bothSides">
            <wp:wrapPolygon edited="0">
              <wp:start x="0" y="0"/>
              <wp:lineTo x="0" y="21080"/>
              <wp:lineTo x="21231" y="21080"/>
              <wp:lineTo x="21231" y="0"/>
              <wp:lineTo x="0" y="0"/>
            </wp:wrapPolygon>
          </wp:wrapTight>
          <wp:docPr id="15" name="Kép 14" descr="M:\TÖOSZ\TÖOSZ-emblémák\toszlogok\toosz_logo_k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TÖOSZ\TÖOSZ-emblémák\toszlogok\toosz_logo_ke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7007">
      <w:rPr>
        <w:noProof/>
      </w:rPr>
      <w:drawing>
        <wp:anchor distT="0" distB="0" distL="114300" distR="114300" simplePos="0" relativeHeight="251662336" behindDoc="1" locked="0" layoutInCell="1" allowOverlap="1" wp14:anchorId="0851DF6E" wp14:editId="47F5447F">
          <wp:simplePos x="0" y="0"/>
          <wp:positionH relativeFrom="margin">
            <wp:posOffset>5161280</wp:posOffset>
          </wp:positionH>
          <wp:positionV relativeFrom="paragraph">
            <wp:posOffset>-10160</wp:posOffset>
          </wp:positionV>
          <wp:extent cx="678180" cy="662305"/>
          <wp:effectExtent l="0" t="0" r="7620" b="4445"/>
          <wp:wrapTight wrapText="bothSides">
            <wp:wrapPolygon edited="0">
              <wp:start x="0" y="0"/>
              <wp:lineTo x="0" y="21124"/>
              <wp:lineTo x="21236" y="21124"/>
              <wp:lineTo x="21236" y="0"/>
              <wp:lineTo x="0" y="0"/>
            </wp:wrapPolygon>
          </wp:wrapTight>
          <wp:docPr id="16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818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7518532" wp14:editId="7D6F8675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17" name="Kép 12" descr="Sztrájkkészültség: félárbócra eresztették az önkormányzati zászlókat |  Felvidék.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rájkkészültség: félárbócra eresztették az önkormányzati zászlókat |  Felvidék.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</w:t>
    </w:r>
  </w:p>
  <w:p w14:paraId="6BB31939" w14:textId="77777777" w:rsidR="00CA09C5" w:rsidRDefault="00CA09C5" w:rsidP="00CA09C5"/>
  <w:p w14:paraId="50DB914C" w14:textId="77777777" w:rsidR="00CA09C5" w:rsidRDefault="00CA09C5" w:rsidP="00CA09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E362" w14:textId="77777777" w:rsidR="00D22342" w:rsidRDefault="00D22342" w:rsidP="00D22342">
    <w:pPr>
      <w:spacing w:after="200" w:line="276" w:lineRule="auto"/>
    </w:pPr>
    <w:r>
      <w:br w:type="page"/>
    </w:r>
    <w:r w:rsidRPr="002E24DF">
      <w:rPr>
        <w:noProof/>
      </w:rPr>
      <w:drawing>
        <wp:anchor distT="0" distB="0" distL="114300" distR="114300" simplePos="0" relativeHeight="251670528" behindDoc="1" locked="0" layoutInCell="1" allowOverlap="1" wp14:anchorId="6CCDC303" wp14:editId="2CBF444D">
          <wp:simplePos x="0" y="0"/>
          <wp:positionH relativeFrom="column">
            <wp:posOffset>1675130</wp:posOffset>
          </wp:positionH>
          <wp:positionV relativeFrom="paragraph">
            <wp:posOffset>-220980</wp:posOffset>
          </wp:positionV>
          <wp:extent cx="1017270" cy="783590"/>
          <wp:effectExtent l="0" t="0" r="0" b="0"/>
          <wp:wrapTight wrapText="bothSides">
            <wp:wrapPolygon edited="0">
              <wp:start x="0" y="0"/>
              <wp:lineTo x="0" y="21005"/>
              <wp:lineTo x="21034" y="21005"/>
              <wp:lineTo x="21034" y="0"/>
              <wp:lineTo x="0" y="0"/>
            </wp:wrapPolygon>
          </wp:wrapTight>
          <wp:docPr id="1" name="Kép 13" descr="C:\Users\sabjank\Desktop\81338355_2503285276557325_17986825678435123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bjank\Desktop\81338355_2503285276557325_179868256784351232_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54"/>
                  <a:stretch/>
                </pic:blipFill>
                <pic:spPr bwMode="auto">
                  <a:xfrm>
                    <a:off x="0" y="0"/>
                    <a:ext cx="10172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4DF">
      <w:rPr>
        <w:noProof/>
      </w:rPr>
      <w:drawing>
        <wp:anchor distT="0" distB="0" distL="114300" distR="114300" simplePos="0" relativeHeight="251668480" behindDoc="1" locked="0" layoutInCell="1" allowOverlap="1" wp14:anchorId="40ABFB57" wp14:editId="20D60961">
          <wp:simplePos x="0" y="0"/>
          <wp:positionH relativeFrom="column">
            <wp:posOffset>3515360</wp:posOffset>
          </wp:positionH>
          <wp:positionV relativeFrom="paragraph">
            <wp:posOffset>5715</wp:posOffset>
          </wp:positionV>
          <wp:extent cx="891540" cy="527050"/>
          <wp:effectExtent l="0" t="0" r="3810" b="6350"/>
          <wp:wrapTight wrapText="bothSides">
            <wp:wrapPolygon edited="0">
              <wp:start x="0" y="0"/>
              <wp:lineTo x="0" y="21080"/>
              <wp:lineTo x="21231" y="21080"/>
              <wp:lineTo x="21231" y="0"/>
              <wp:lineTo x="0" y="0"/>
            </wp:wrapPolygon>
          </wp:wrapTight>
          <wp:docPr id="6" name="Kép 14" descr="M:\TÖOSZ\TÖOSZ-emblémák\toszlogok\toosz_logo_k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TÖOSZ\TÖOSZ-emblémák\toszlogok\toosz_logo_ke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7007">
      <w:rPr>
        <w:noProof/>
      </w:rPr>
      <w:drawing>
        <wp:anchor distT="0" distB="0" distL="114300" distR="114300" simplePos="0" relativeHeight="251667456" behindDoc="1" locked="0" layoutInCell="1" allowOverlap="1" wp14:anchorId="4E32A0BC" wp14:editId="074D259D">
          <wp:simplePos x="0" y="0"/>
          <wp:positionH relativeFrom="margin">
            <wp:posOffset>5161280</wp:posOffset>
          </wp:positionH>
          <wp:positionV relativeFrom="paragraph">
            <wp:posOffset>-10160</wp:posOffset>
          </wp:positionV>
          <wp:extent cx="678180" cy="662305"/>
          <wp:effectExtent l="0" t="0" r="7620" b="4445"/>
          <wp:wrapTight wrapText="bothSides">
            <wp:wrapPolygon edited="0">
              <wp:start x="0" y="0"/>
              <wp:lineTo x="0" y="21124"/>
              <wp:lineTo x="21236" y="21124"/>
              <wp:lineTo x="21236" y="0"/>
              <wp:lineTo x="0" y="0"/>
            </wp:wrapPolygon>
          </wp:wrapTight>
          <wp:docPr id="7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818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35A8BF4B" wp14:editId="25BF701F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8" name="Kép 12" descr="Sztrájkkészültség: félárbócra eresztették az önkormányzati zászlókat |  Felvidék.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rájkkészültség: félárbócra eresztették az önkormányzati zászlókat |  Felvidék.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</w:t>
    </w:r>
  </w:p>
  <w:p w14:paraId="6EA417BE" w14:textId="77777777" w:rsidR="00D22342" w:rsidRDefault="00D22342" w:rsidP="00D22342"/>
  <w:p w14:paraId="282FB881" w14:textId="77777777" w:rsidR="00D22342" w:rsidRDefault="00D22342" w:rsidP="00D22342"/>
  <w:p w14:paraId="49C5F6AB" w14:textId="77777777" w:rsidR="00D22342" w:rsidRDefault="00D2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0AB"/>
    <w:multiLevelType w:val="multilevel"/>
    <w:tmpl w:val="7978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1532D"/>
    <w:multiLevelType w:val="hybridMultilevel"/>
    <w:tmpl w:val="6810A2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8BB"/>
    <w:multiLevelType w:val="hybridMultilevel"/>
    <w:tmpl w:val="57DCE4AE"/>
    <w:lvl w:ilvl="0" w:tplc="743A3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D680C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4AB1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5AC7E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8087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FA090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500A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6CC2B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4867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5DB338D"/>
    <w:multiLevelType w:val="hybridMultilevel"/>
    <w:tmpl w:val="ACEEA220"/>
    <w:lvl w:ilvl="0" w:tplc="7068B9DC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Lucida Console" w:hAnsi="Lucida Console" w:hint="default"/>
        <w:sz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B3FD5"/>
    <w:multiLevelType w:val="hybridMultilevel"/>
    <w:tmpl w:val="25A6BADC"/>
    <w:lvl w:ilvl="0" w:tplc="430CA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BAAE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AE49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D3A91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9E4DE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CE7E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6484E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A229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024DA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B55520A"/>
    <w:multiLevelType w:val="hybridMultilevel"/>
    <w:tmpl w:val="ADE6E2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8B69EB"/>
    <w:multiLevelType w:val="hybridMultilevel"/>
    <w:tmpl w:val="4C76BC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6616"/>
    <w:multiLevelType w:val="hybridMultilevel"/>
    <w:tmpl w:val="65C499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33D4D"/>
    <w:multiLevelType w:val="hybridMultilevel"/>
    <w:tmpl w:val="08502B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A1172"/>
    <w:multiLevelType w:val="hybridMultilevel"/>
    <w:tmpl w:val="C5C6BA66"/>
    <w:lvl w:ilvl="0" w:tplc="7068B9DC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Lucida Console" w:hAnsi="Lucida Console" w:hint="default"/>
        <w:sz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1F91"/>
    <w:multiLevelType w:val="hybridMultilevel"/>
    <w:tmpl w:val="A25C48E2"/>
    <w:lvl w:ilvl="0" w:tplc="0504B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C7F0E"/>
    <w:multiLevelType w:val="hybridMultilevel"/>
    <w:tmpl w:val="362E0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B1419"/>
    <w:multiLevelType w:val="hybridMultilevel"/>
    <w:tmpl w:val="5F3852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1FE"/>
    <w:multiLevelType w:val="hybridMultilevel"/>
    <w:tmpl w:val="1638E12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4F700B6"/>
    <w:multiLevelType w:val="hybridMultilevel"/>
    <w:tmpl w:val="D4AA3FAE"/>
    <w:lvl w:ilvl="0" w:tplc="41FCC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46E2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D86C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BC035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D0446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A8E4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63444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4320B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E9AE8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4BA66F1B"/>
    <w:multiLevelType w:val="hybridMultilevel"/>
    <w:tmpl w:val="0C36E47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251B7"/>
    <w:multiLevelType w:val="hybridMultilevel"/>
    <w:tmpl w:val="37BA40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572D9"/>
    <w:multiLevelType w:val="hybridMultilevel"/>
    <w:tmpl w:val="A4D4D5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050E6"/>
    <w:multiLevelType w:val="hybridMultilevel"/>
    <w:tmpl w:val="A6DE06DE"/>
    <w:lvl w:ilvl="0" w:tplc="E4202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DCC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87233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65C55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4CED5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45AA7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E024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A464B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FDC0C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6BB01468"/>
    <w:multiLevelType w:val="hybridMultilevel"/>
    <w:tmpl w:val="16FC4A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445C8"/>
    <w:multiLevelType w:val="hybridMultilevel"/>
    <w:tmpl w:val="AF9A5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E3C78"/>
    <w:multiLevelType w:val="hybridMultilevel"/>
    <w:tmpl w:val="FE56B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54963"/>
    <w:multiLevelType w:val="hybridMultilevel"/>
    <w:tmpl w:val="B9125F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E93437"/>
    <w:multiLevelType w:val="hybridMultilevel"/>
    <w:tmpl w:val="AC7EE4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65A34"/>
    <w:multiLevelType w:val="hybridMultilevel"/>
    <w:tmpl w:val="946A3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735F"/>
    <w:multiLevelType w:val="hybridMultilevel"/>
    <w:tmpl w:val="83CA751E"/>
    <w:lvl w:ilvl="0" w:tplc="972CE1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961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29A9C3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DC9F7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E25D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290C14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9A823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68E4A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10531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724BDC"/>
    <w:multiLevelType w:val="hybridMultilevel"/>
    <w:tmpl w:val="F9F031CC"/>
    <w:lvl w:ilvl="0" w:tplc="D6BA4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D6E6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A8E54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ED051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F3427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6FEA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E66CF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FAA1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5E4C3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7D283BA5"/>
    <w:multiLevelType w:val="hybridMultilevel"/>
    <w:tmpl w:val="84F89F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B5F33"/>
    <w:multiLevelType w:val="hybridMultilevel"/>
    <w:tmpl w:val="E5069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14A97"/>
    <w:multiLevelType w:val="hybridMultilevel"/>
    <w:tmpl w:val="90D6DDD6"/>
    <w:lvl w:ilvl="0" w:tplc="DFF42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2FABB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B127D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D3AAF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1CA88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C6654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92888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42C39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B5812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825275598">
    <w:abstractNumId w:val="3"/>
  </w:num>
  <w:num w:numId="2" w16cid:durableId="922647494">
    <w:abstractNumId w:val="9"/>
  </w:num>
  <w:num w:numId="3" w16cid:durableId="52386279">
    <w:abstractNumId w:val="5"/>
  </w:num>
  <w:num w:numId="4" w16cid:durableId="1896425203">
    <w:abstractNumId w:val="22"/>
  </w:num>
  <w:num w:numId="5" w16cid:durableId="563417546">
    <w:abstractNumId w:val="21"/>
  </w:num>
  <w:num w:numId="6" w16cid:durableId="761145057">
    <w:abstractNumId w:val="7"/>
  </w:num>
  <w:num w:numId="7" w16cid:durableId="810712242">
    <w:abstractNumId w:val="24"/>
  </w:num>
  <w:num w:numId="8" w16cid:durableId="305819488">
    <w:abstractNumId w:val="15"/>
  </w:num>
  <w:num w:numId="9" w16cid:durableId="20980363">
    <w:abstractNumId w:val="12"/>
  </w:num>
  <w:num w:numId="10" w16cid:durableId="868183609">
    <w:abstractNumId w:val="0"/>
  </w:num>
  <w:num w:numId="11" w16cid:durableId="1567759419">
    <w:abstractNumId w:val="11"/>
  </w:num>
  <w:num w:numId="12" w16cid:durableId="450250588">
    <w:abstractNumId w:val="8"/>
  </w:num>
  <w:num w:numId="13" w16cid:durableId="135800336">
    <w:abstractNumId w:val="17"/>
  </w:num>
  <w:num w:numId="14" w16cid:durableId="1030378991">
    <w:abstractNumId w:val="27"/>
  </w:num>
  <w:num w:numId="15" w16cid:durableId="662010263">
    <w:abstractNumId w:val="29"/>
  </w:num>
  <w:num w:numId="16" w16cid:durableId="1573469792">
    <w:abstractNumId w:val="6"/>
  </w:num>
  <w:num w:numId="17" w16cid:durableId="322507968">
    <w:abstractNumId w:val="23"/>
  </w:num>
  <w:num w:numId="18" w16cid:durableId="594217189">
    <w:abstractNumId w:val="19"/>
  </w:num>
  <w:num w:numId="19" w16cid:durableId="267855127">
    <w:abstractNumId w:val="28"/>
  </w:num>
  <w:num w:numId="20" w16cid:durableId="661199035">
    <w:abstractNumId w:val="18"/>
  </w:num>
  <w:num w:numId="21" w16cid:durableId="448861457">
    <w:abstractNumId w:val="13"/>
  </w:num>
  <w:num w:numId="22" w16cid:durableId="964584385">
    <w:abstractNumId w:val="10"/>
  </w:num>
  <w:num w:numId="23" w16cid:durableId="1999309328">
    <w:abstractNumId w:val="1"/>
  </w:num>
  <w:num w:numId="24" w16cid:durableId="404693264">
    <w:abstractNumId w:val="2"/>
  </w:num>
  <w:num w:numId="25" w16cid:durableId="1832718982">
    <w:abstractNumId w:val="16"/>
  </w:num>
  <w:num w:numId="26" w16cid:durableId="258608640">
    <w:abstractNumId w:val="26"/>
  </w:num>
  <w:num w:numId="27" w16cid:durableId="3405524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5533915">
    <w:abstractNumId w:val="4"/>
  </w:num>
  <w:num w:numId="29" w16cid:durableId="708529058">
    <w:abstractNumId w:val="20"/>
  </w:num>
  <w:num w:numId="30" w16cid:durableId="843478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C7"/>
    <w:rsid w:val="000067B2"/>
    <w:rsid w:val="0001171B"/>
    <w:rsid w:val="00032EBD"/>
    <w:rsid w:val="000427D5"/>
    <w:rsid w:val="000B0DA3"/>
    <w:rsid w:val="000B32F5"/>
    <w:rsid w:val="000D0C3E"/>
    <w:rsid w:val="000E6ACF"/>
    <w:rsid w:val="0010266B"/>
    <w:rsid w:val="001254C3"/>
    <w:rsid w:val="001326B1"/>
    <w:rsid w:val="0014030A"/>
    <w:rsid w:val="001577E5"/>
    <w:rsid w:val="00164EC4"/>
    <w:rsid w:val="00183378"/>
    <w:rsid w:val="0018752A"/>
    <w:rsid w:val="0019392A"/>
    <w:rsid w:val="001B3ABC"/>
    <w:rsid w:val="001D2F89"/>
    <w:rsid w:val="001E1CF4"/>
    <w:rsid w:val="001E7AE2"/>
    <w:rsid w:val="0021256C"/>
    <w:rsid w:val="002223DC"/>
    <w:rsid w:val="00225321"/>
    <w:rsid w:val="002371EF"/>
    <w:rsid w:val="00261D3E"/>
    <w:rsid w:val="00265A70"/>
    <w:rsid w:val="00282A62"/>
    <w:rsid w:val="002830D4"/>
    <w:rsid w:val="0029646F"/>
    <w:rsid w:val="002C55BF"/>
    <w:rsid w:val="002C79F6"/>
    <w:rsid w:val="002E5D0B"/>
    <w:rsid w:val="00312A8D"/>
    <w:rsid w:val="00316904"/>
    <w:rsid w:val="003275AE"/>
    <w:rsid w:val="00354ECA"/>
    <w:rsid w:val="003615D5"/>
    <w:rsid w:val="00361DFA"/>
    <w:rsid w:val="003821B8"/>
    <w:rsid w:val="0039041C"/>
    <w:rsid w:val="003A27EE"/>
    <w:rsid w:val="003C59CF"/>
    <w:rsid w:val="003D2ACA"/>
    <w:rsid w:val="003D374E"/>
    <w:rsid w:val="00402EB3"/>
    <w:rsid w:val="00404A60"/>
    <w:rsid w:val="00420BA0"/>
    <w:rsid w:val="00423096"/>
    <w:rsid w:val="00443AF9"/>
    <w:rsid w:val="00480240"/>
    <w:rsid w:val="00482DD1"/>
    <w:rsid w:val="004A2363"/>
    <w:rsid w:val="004F4D0C"/>
    <w:rsid w:val="0050492C"/>
    <w:rsid w:val="00535E04"/>
    <w:rsid w:val="00543030"/>
    <w:rsid w:val="00557F08"/>
    <w:rsid w:val="00596CFB"/>
    <w:rsid w:val="005D0A82"/>
    <w:rsid w:val="005E1357"/>
    <w:rsid w:val="006359F1"/>
    <w:rsid w:val="00645ED0"/>
    <w:rsid w:val="00675263"/>
    <w:rsid w:val="00675693"/>
    <w:rsid w:val="006861F5"/>
    <w:rsid w:val="00690134"/>
    <w:rsid w:val="0069263B"/>
    <w:rsid w:val="00712B64"/>
    <w:rsid w:val="00727CC9"/>
    <w:rsid w:val="007322D0"/>
    <w:rsid w:val="00746463"/>
    <w:rsid w:val="0075052C"/>
    <w:rsid w:val="00770BBD"/>
    <w:rsid w:val="007A5E29"/>
    <w:rsid w:val="007B1115"/>
    <w:rsid w:val="007C4CA1"/>
    <w:rsid w:val="007F12DB"/>
    <w:rsid w:val="00827304"/>
    <w:rsid w:val="008406E4"/>
    <w:rsid w:val="00850077"/>
    <w:rsid w:val="00876DDF"/>
    <w:rsid w:val="00887357"/>
    <w:rsid w:val="00891014"/>
    <w:rsid w:val="008C0BD5"/>
    <w:rsid w:val="008C4F27"/>
    <w:rsid w:val="008F1829"/>
    <w:rsid w:val="00900AF0"/>
    <w:rsid w:val="00906C78"/>
    <w:rsid w:val="009456F4"/>
    <w:rsid w:val="00963D41"/>
    <w:rsid w:val="009932EA"/>
    <w:rsid w:val="009A3399"/>
    <w:rsid w:val="009B256D"/>
    <w:rsid w:val="009C49A3"/>
    <w:rsid w:val="00A16D85"/>
    <w:rsid w:val="00A446F8"/>
    <w:rsid w:val="00A5175B"/>
    <w:rsid w:val="00A822FB"/>
    <w:rsid w:val="00A83A25"/>
    <w:rsid w:val="00AB4A82"/>
    <w:rsid w:val="00AC52F2"/>
    <w:rsid w:val="00AD4918"/>
    <w:rsid w:val="00AE2E7B"/>
    <w:rsid w:val="00B0431A"/>
    <w:rsid w:val="00B11651"/>
    <w:rsid w:val="00B22C2D"/>
    <w:rsid w:val="00B24ED0"/>
    <w:rsid w:val="00BA4AF4"/>
    <w:rsid w:val="00BB77EA"/>
    <w:rsid w:val="00BC106D"/>
    <w:rsid w:val="00BC4CF8"/>
    <w:rsid w:val="00C21657"/>
    <w:rsid w:val="00C30815"/>
    <w:rsid w:val="00C319EC"/>
    <w:rsid w:val="00C368F5"/>
    <w:rsid w:val="00C67CCD"/>
    <w:rsid w:val="00C743E5"/>
    <w:rsid w:val="00C81248"/>
    <w:rsid w:val="00C82708"/>
    <w:rsid w:val="00C83404"/>
    <w:rsid w:val="00C876B9"/>
    <w:rsid w:val="00C95077"/>
    <w:rsid w:val="00CA09C5"/>
    <w:rsid w:val="00CB6D79"/>
    <w:rsid w:val="00CE4051"/>
    <w:rsid w:val="00D13BCD"/>
    <w:rsid w:val="00D22342"/>
    <w:rsid w:val="00D36506"/>
    <w:rsid w:val="00D43C62"/>
    <w:rsid w:val="00D46AAF"/>
    <w:rsid w:val="00D529D8"/>
    <w:rsid w:val="00D55D65"/>
    <w:rsid w:val="00D64443"/>
    <w:rsid w:val="00D701C7"/>
    <w:rsid w:val="00D9744B"/>
    <w:rsid w:val="00D97DD8"/>
    <w:rsid w:val="00DA07CD"/>
    <w:rsid w:val="00DA5EBD"/>
    <w:rsid w:val="00DD4D20"/>
    <w:rsid w:val="00DF00BD"/>
    <w:rsid w:val="00E03540"/>
    <w:rsid w:val="00E16D4E"/>
    <w:rsid w:val="00E16E58"/>
    <w:rsid w:val="00E468B1"/>
    <w:rsid w:val="00E55E55"/>
    <w:rsid w:val="00E67368"/>
    <w:rsid w:val="00E867ED"/>
    <w:rsid w:val="00E9424B"/>
    <w:rsid w:val="00EA1428"/>
    <w:rsid w:val="00EA14C4"/>
    <w:rsid w:val="00EA2912"/>
    <w:rsid w:val="00EA3F84"/>
    <w:rsid w:val="00EA6E9A"/>
    <w:rsid w:val="00EC31D5"/>
    <w:rsid w:val="00EE043A"/>
    <w:rsid w:val="00EE06EF"/>
    <w:rsid w:val="00EE595E"/>
    <w:rsid w:val="00EF1B1C"/>
    <w:rsid w:val="00EF7930"/>
    <w:rsid w:val="00F07617"/>
    <w:rsid w:val="00F377CD"/>
    <w:rsid w:val="00F47F60"/>
    <w:rsid w:val="00F721DC"/>
    <w:rsid w:val="00FE1E46"/>
    <w:rsid w:val="00FE480B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F5F095"/>
  <w14:defaultImageDpi w14:val="0"/>
  <w15:docId w15:val="{8A041B5A-592C-41B6-8E50-48540DA6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7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360"/>
        <w:tab w:val="left" w:pos="6300"/>
      </w:tabs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319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319E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49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9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492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492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4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AF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F4D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4D0C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20BA0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2C2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22C2D"/>
    <w:rPr>
      <w:rFonts w:ascii="Calibri" w:eastAsiaTheme="minorHAnsi" w:hAnsi="Calibri" w:cstheme="minorBidi"/>
      <w:szCs w:val="21"/>
      <w:lang w:eastAsia="en-US"/>
    </w:rPr>
  </w:style>
  <w:style w:type="character" w:customStyle="1" w:styleId="q4iawc">
    <w:name w:val="q4iawc"/>
    <w:basedOn w:val="DefaultParagraphFont"/>
    <w:rsid w:val="00164EC4"/>
  </w:style>
  <w:style w:type="character" w:styleId="UnresolvedMention">
    <w:name w:val="Unresolved Mention"/>
    <w:basedOn w:val="DefaultParagraphFont"/>
    <w:uiPriority w:val="99"/>
    <w:semiHidden/>
    <w:unhideWhenUsed/>
    <w:rsid w:val="007B1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mos.sk/4-vyzva-european-city-facility-na-podporu-udrzatelnych-energii-oznam/mid/405616/.html" TargetMode="External"/><Relationship Id="rId13" Type="http://schemas.openxmlformats.org/officeDocument/2006/relationships/hyperlink" Target="https://www.zmos.sk/download_file_f.php?id=171707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danube.vlada.gov.sk/kontakty/?csrt=29642302161347378" TargetMode="External"/><Relationship Id="rId12" Type="http://schemas.openxmlformats.org/officeDocument/2006/relationships/hyperlink" Target="https://eraportal.sk/vyzvy/efficient-sustainable-and-inclusive-energy-use-horizon-cl5-2022-d4-01/" TargetMode="External"/><Relationship Id="rId17" Type="http://schemas.openxmlformats.org/officeDocument/2006/relationships/hyperlink" Target="https://www.zmos.sk/download_file_f.php?id=17170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zprem.hu/onkormanyzat/strategia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aportal.sk/vyzvy/efficient-sustainable-and-inclusive-energy-use-horizon-cl5-2022-d4-0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mos.sk/download_file_f.php?id=17170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mos.sk/download_file_f.php?id=171707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zmos.sk/download_file_f.php?id=1717074" TargetMode="External"/><Relationship Id="rId14" Type="http://schemas.openxmlformats.org/officeDocument/2006/relationships/hyperlink" Target="https://www.zmos.sk/download_file_f.php?id=171707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3525</Words>
  <Characters>24341</Characters>
  <Application>Microsoft Office Word</Application>
  <DocSecurity>0</DocSecurity>
  <Lines>202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TELEPÜLÉSI ÖNKORMÁNYZATOK ORSZÁGOS SZÖVETSÉGE</vt:lpstr>
      <vt:lpstr>TELEPÜLÉSI ÖNKORMÁNYZATOK ORSZÁGOS SZÖVETSÉGE</vt:lpstr>
      <vt:lpstr>TELEPÜLÉSI ÖNKORMÁNYZATOK ORSZÁGOS SZÖVETSÉGE</vt:lpstr>
    </vt:vector>
  </TitlesOfParts>
  <Company>TÖOSZ</Company>
  <LinksUpToDate>false</LinksUpToDate>
  <CharactersWithSpaces>27811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TELEPÜLÉSI ÖNKORMÁNYZATOK ORSZÁGOS SZÖVETSÉGE</dc:title>
  <dc:subject/>
  <dc:creator>TÖOSZ</dc:creator>
  <cp:keywords/>
  <dc:description/>
  <cp:lastModifiedBy>Zuzana Špačeková</cp:lastModifiedBy>
  <cp:revision>3</cp:revision>
  <cp:lastPrinted>2022-07-11T09:35:00Z</cp:lastPrinted>
  <dcterms:created xsi:type="dcterms:W3CDTF">2022-07-26T13:36:00Z</dcterms:created>
  <dcterms:modified xsi:type="dcterms:W3CDTF">2022-07-27T07:53:00Z</dcterms:modified>
</cp:coreProperties>
</file>