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B1D9E" w14:textId="05A19BBB" w:rsidR="00CF3376" w:rsidRDefault="00320790" w:rsidP="00E92B6C">
      <w:pPr>
        <w:jc w:val="center"/>
        <w:rPr>
          <w:b/>
          <w:bCs/>
        </w:rPr>
      </w:pPr>
      <w:r w:rsidRPr="00320790">
        <w:rPr>
          <w:b/>
          <w:bCs/>
        </w:rPr>
        <w:t>Ministerstvo financí vydalo zprávu o hospodaření obcí za první čtvrtletní roku 2022</w:t>
      </w:r>
    </w:p>
    <w:p w14:paraId="23E01440" w14:textId="6675A162" w:rsidR="00320790" w:rsidRDefault="00320790">
      <w:pPr>
        <w:rPr>
          <w:b/>
          <w:bCs/>
        </w:rPr>
      </w:pPr>
    </w:p>
    <w:p w14:paraId="29F2231C" w14:textId="218E3ED3" w:rsidR="00E44E65" w:rsidRPr="00320790" w:rsidRDefault="00E44E65" w:rsidP="00E44E65">
      <w:pPr>
        <w:jc w:val="both"/>
      </w:pPr>
      <w:r>
        <w:t xml:space="preserve">První čtvrtletní </w:t>
      </w:r>
      <w:r w:rsidR="009511F9">
        <w:t xml:space="preserve">roku 2022 </w:t>
      </w:r>
      <w:r>
        <w:t xml:space="preserve">bylo naplněno a) </w:t>
      </w:r>
      <w:r w:rsidRPr="00320790">
        <w:t xml:space="preserve">postupným rozvolňováním restriktivních opatření vlády v boji proti pandemii koronaviru, v návaznosti na to také nižšími podpůrnými opatřeními (např. nižší objem a pozdější výplata mimořádného neúčelového příspěvku obcím), </w:t>
      </w:r>
      <w:r>
        <w:t xml:space="preserve">b) </w:t>
      </w:r>
      <w:r w:rsidRPr="00320790">
        <w:t>dále rostoucí základní úrokovou sazbou ze strany České národní banky</w:t>
      </w:r>
      <w:r>
        <w:t xml:space="preserve">, </w:t>
      </w:r>
      <w:r w:rsidRPr="00320790">
        <w:t xml:space="preserve">jakožto nástroj zpomalení inflace, koncem rozpočtového provizoria, </w:t>
      </w:r>
      <w:r>
        <w:t xml:space="preserve">c) </w:t>
      </w:r>
      <w:r w:rsidRPr="00320790">
        <w:t xml:space="preserve">ale také pokračující ruskou invazí na Ukrajině. </w:t>
      </w:r>
      <w:r>
        <w:t xml:space="preserve">Všechny tyto aspekty měly negativní </w:t>
      </w:r>
      <w:r w:rsidRPr="00320790">
        <w:t xml:space="preserve">vliv (např. zdražení úvěrů, zvýšené výdaje související s poskytnutou pomocí Ukrajině a jejímu obyvatelstvu, prodražování stavebních prací) na výsledky hospodaření územních samosprávných celků, jejichž saldo dosáhlo v březnu letošního roku nejnižší úrovně od roku 2016. </w:t>
      </w:r>
      <w:r>
        <w:t>Přesto naopak</w:t>
      </w:r>
      <w:r w:rsidRPr="00320790">
        <w:t xml:space="preserve"> rostoucí inflace pozitivně ovlivňuje růst inkasa daňových příjmů, zejména příjem z daně z přidané hodnoty. Zatímco kraje byly v tomto ohledu poznamenány o mnoho více, tak obce vykazují lepší výsledky než před vypuknutím pandemie. </w:t>
      </w:r>
    </w:p>
    <w:p w14:paraId="4E028281" w14:textId="5D70804C" w:rsidR="00E92B6C" w:rsidRDefault="00E44E65" w:rsidP="00E92B6C">
      <w:pPr>
        <w:jc w:val="both"/>
      </w:pPr>
      <w:r>
        <w:tab/>
      </w:r>
      <w:r w:rsidR="00E92B6C" w:rsidRPr="00320790">
        <w:t>Ke konci března roku 2022 obce, kraje a dobrovolné svazky obcí</w:t>
      </w:r>
      <w:r w:rsidR="009511F9">
        <w:t xml:space="preserve"> </w:t>
      </w:r>
      <w:r w:rsidR="00E92B6C" w:rsidRPr="00320790">
        <w:t>dosáhl</w:t>
      </w:r>
      <w:r>
        <w:t xml:space="preserve">y </w:t>
      </w:r>
      <w:r w:rsidR="00E92B6C" w:rsidRPr="00320790">
        <w:t xml:space="preserve">kladného výsledku hospodaření ve výši 16 mld. Kč. </w:t>
      </w:r>
      <w:r w:rsidR="00E92B6C">
        <w:t>Ve srovnání</w:t>
      </w:r>
      <w:r w:rsidR="00E92B6C" w:rsidRPr="00320790">
        <w:t xml:space="preserve"> s březnem roku 2020</w:t>
      </w:r>
      <w:r w:rsidR="00E92B6C">
        <w:t xml:space="preserve"> klesl</w:t>
      </w:r>
      <w:r w:rsidR="00E92B6C" w:rsidRPr="00320790">
        <w:t xml:space="preserve"> přebytek územních rozpočtů o 10,6 %, tj. o 1,9 mld. Kč</w:t>
      </w:r>
      <w:r w:rsidR="00E92B6C">
        <w:t xml:space="preserve">. </w:t>
      </w:r>
    </w:p>
    <w:p w14:paraId="10DFD0E0" w14:textId="77777777" w:rsidR="00E92B6C" w:rsidRDefault="00E92B6C" w:rsidP="00E92B6C">
      <w:pPr>
        <w:jc w:val="both"/>
      </w:pPr>
      <w:r>
        <w:tab/>
      </w:r>
      <w:r w:rsidRPr="00320790">
        <w:t xml:space="preserve">V případě rozpočtů územních samosprávných celků došlo meziročně ke snížení jejich příjmů a výdajů. Celkové konsolidované příjmy územních rozpočtů činily 159,2 mld. Kč a meziročně klesly o 5,5 %, tj. o 9,3 mld. Kč. </w:t>
      </w:r>
      <w:r>
        <w:t xml:space="preserve"> </w:t>
      </w:r>
      <w:r w:rsidRPr="00320790">
        <w:t xml:space="preserve">Příjmy územních rozpočtů zaznamenaly pokles i v komparaci s rokem 2020, tedy obdobím před propuknutím první vlny pandemie COVID-19, a to o 1,9 %. </w:t>
      </w:r>
      <w:r>
        <w:tab/>
      </w:r>
    </w:p>
    <w:p w14:paraId="1EF34109" w14:textId="755CDD3D" w:rsidR="00E92B6C" w:rsidRPr="00320790" w:rsidRDefault="00E92B6C" w:rsidP="00E92B6C">
      <w:pPr>
        <w:jc w:val="both"/>
      </w:pPr>
      <w:r>
        <w:tab/>
      </w:r>
      <w:r w:rsidRPr="00320790">
        <w:t>Celkové konsolidované výdaje územních rozpočtů v březnu 2022 dosáhly 143,3 mld. Kč a meziročně se snížily o 4,8 %, tj. o 7,2 mld. Kč. Po očištění celkových příjmů a výdajů krajů a obcí (hl. m. Praha) o přímé náklady na vzdělávání celkové příjmy činí 166,6 mld. Kč, výdaje   100,4 mld. Kč.</w:t>
      </w:r>
    </w:p>
    <w:p w14:paraId="3E8257B9" w14:textId="296C2582" w:rsidR="00320790" w:rsidRDefault="00320790">
      <w:pPr>
        <w:rPr>
          <w:b/>
          <w:bCs/>
        </w:rPr>
      </w:pPr>
    </w:p>
    <w:p w14:paraId="352BCAB8" w14:textId="37192270" w:rsidR="00320790" w:rsidRPr="00320790" w:rsidRDefault="00320790">
      <w:r w:rsidRPr="00320790">
        <w:t xml:space="preserve">Více informací </w:t>
      </w:r>
      <w:r>
        <w:t xml:space="preserve">a podrobné grafy </w:t>
      </w:r>
      <w:r w:rsidR="00E92B6C">
        <w:t xml:space="preserve">se srovnáním z předchozích let </w:t>
      </w:r>
      <w:r w:rsidRPr="00320790">
        <w:t xml:space="preserve">naleznete přímo na stránkách Ministerstva financí </w:t>
      </w:r>
      <w:hyperlink r:id="rId4" w:history="1">
        <w:r w:rsidRPr="00320790">
          <w:rPr>
            <w:rStyle w:val="Hypertextovodkaz"/>
          </w:rPr>
          <w:t>zde</w:t>
        </w:r>
      </w:hyperlink>
      <w:r>
        <w:t>.</w:t>
      </w:r>
      <w:r w:rsidRPr="00320790">
        <w:t xml:space="preserve"> </w:t>
      </w:r>
    </w:p>
    <w:p w14:paraId="5AEAE256" w14:textId="7FF9EF0E" w:rsidR="00320790" w:rsidRPr="00320790" w:rsidRDefault="00320790"/>
    <w:p w14:paraId="3254E8EB" w14:textId="75C2B443" w:rsidR="00320790" w:rsidRPr="00320790" w:rsidRDefault="00320790">
      <w:r w:rsidRPr="00320790">
        <w:t xml:space="preserve">Zdroj: </w:t>
      </w:r>
      <w:r w:rsidR="00701583">
        <w:t>převzato z </w:t>
      </w:r>
      <w:r w:rsidRPr="00320790">
        <w:t>Ministerstv</w:t>
      </w:r>
      <w:r w:rsidR="00701583">
        <w:t xml:space="preserve">a </w:t>
      </w:r>
      <w:r w:rsidRPr="00320790">
        <w:t>financí</w:t>
      </w:r>
      <w:r w:rsidR="00E92B6C">
        <w:t>,</w:t>
      </w:r>
      <w:r w:rsidR="00701583">
        <w:t xml:space="preserve"> </w:t>
      </w:r>
      <w:r w:rsidR="00E92B6C">
        <w:t>23. května 2022</w:t>
      </w:r>
    </w:p>
    <w:sectPr w:rsidR="00320790" w:rsidRPr="00320790" w:rsidSect="00234F4E">
      <w:type w:val="nextColumn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790"/>
    <w:rsid w:val="00030E65"/>
    <w:rsid w:val="00234F4E"/>
    <w:rsid w:val="00320790"/>
    <w:rsid w:val="00701583"/>
    <w:rsid w:val="007C55F8"/>
    <w:rsid w:val="009511F9"/>
    <w:rsid w:val="00B511DC"/>
    <w:rsid w:val="00DD7EC7"/>
    <w:rsid w:val="00E44E65"/>
    <w:rsid w:val="00E9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13E2CE"/>
  <w14:defaultImageDpi w14:val="32767"/>
  <w15:chartTrackingRefBased/>
  <w15:docId w15:val="{D3D7C66E-D1B8-054D-B8D7-C92D9FF14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2079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rsid w:val="0032079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015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4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fcr.cz/cs/verejny-sektor/uzemni-rozpocty/hospodareni-obci/mesicni-zpravy-o-hospodareni-uzemnich-ro/2022/zprava-o-vyvoji-rozpoctoveho-hospodareni-47579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336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2022-05-26T08:29:00Z</dcterms:created>
  <dcterms:modified xsi:type="dcterms:W3CDTF">2022-05-26T10:10:00Z</dcterms:modified>
</cp:coreProperties>
</file>