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A717" w14:textId="77777777" w:rsidR="00FB3638" w:rsidRDefault="00FB3638" w:rsidP="00AE7934">
      <w:pPr>
        <w:shd w:val="clear" w:color="auto" w:fill="FFFFFF"/>
        <w:jc w:val="both"/>
        <w:rPr>
          <w:rFonts w:cs="Arial"/>
          <w:color w:val="000000"/>
          <w:szCs w:val="20"/>
        </w:rPr>
      </w:pPr>
    </w:p>
    <w:p w14:paraId="2A28D1F5" w14:textId="77777777" w:rsidR="00BA343F" w:rsidRDefault="00BA343F" w:rsidP="00AE7934">
      <w:pPr>
        <w:shd w:val="clear" w:color="auto" w:fill="FFFFFF"/>
        <w:jc w:val="both"/>
        <w:rPr>
          <w:rFonts w:cs="Arial"/>
          <w:color w:val="000000"/>
          <w:szCs w:val="20"/>
        </w:rPr>
      </w:pPr>
    </w:p>
    <w:p w14:paraId="7B0B6B1C" w14:textId="77777777" w:rsidR="00BA343F" w:rsidRDefault="00BA343F" w:rsidP="00AE7934">
      <w:pPr>
        <w:shd w:val="clear" w:color="auto" w:fill="FFFFFF"/>
        <w:jc w:val="both"/>
        <w:rPr>
          <w:rFonts w:cs="Arial"/>
          <w:color w:val="000000"/>
          <w:szCs w:val="20"/>
        </w:rPr>
      </w:pPr>
    </w:p>
    <w:p w14:paraId="0018F97A" w14:textId="77777777" w:rsidR="00AE7934" w:rsidRDefault="00FB3638" w:rsidP="00AE7934">
      <w:pPr>
        <w:shd w:val="clear" w:color="auto" w:fill="FFFFFF"/>
        <w:jc w:val="both"/>
        <w:rPr>
          <w:rFonts w:cs="Arial"/>
          <w:color w:val="000000"/>
          <w:szCs w:val="20"/>
        </w:rPr>
      </w:pPr>
      <w:r w:rsidRPr="00BA343F">
        <w:rPr>
          <w:rFonts w:cs="Arial"/>
          <w:color w:val="000000"/>
          <w:szCs w:val="20"/>
        </w:rPr>
        <w:t>T</w:t>
      </w:r>
      <w:r w:rsidR="00AE7934" w:rsidRPr="00BA343F">
        <w:rPr>
          <w:rFonts w:cs="Arial"/>
          <w:color w:val="000000"/>
          <w:szCs w:val="20"/>
        </w:rPr>
        <w:t>abulka 1: Přiměřenost bytu s ohledem na velikost společně hospodařící domácnosti podle podlahové plochy bytu</w:t>
      </w:r>
    </w:p>
    <w:tbl>
      <w:tblPr>
        <w:tblW w:w="12000" w:type="dxa"/>
        <w:tblCellMar>
          <w:left w:w="0" w:type="dxa"/>
          <w:right w:w="0" w:type="dxa"/>
        </w:tblCellMar>
        <w:tblLook w:val="04A0" w:firstRow="1" w:lastRow="0" w:firstColumn="1" w:lastColumn="0" w:noHBand="0" w:noVBand="1"/>
      </w:tblPr>
      <w:tblGrid>
        <w:gridCol w:w="1406"/>
        <w:gridCol w:w="1372"/>
        <w:gridCol w:w="1371"/>
        <w:gridCol w:w="1371"/>
        <w:gridCol w:w="1296"/>
        <w:gridCol w:w="1296"/>
        <w:gridCol w:w="1296"/>
        <w:gridCol w:w="1296"/>
        <w:gridCol w:w="1296"/>
      </w:tblGrid>
      <w:tr w:rsidR="00AE7934" w14:paraId="27929255" w14:textId="77777777" w:rsidTr="00AE7934">
        <w:tc>
          <w:tcPr>
            <w:tcW w:w="0" w:type="auto"/>
            <w:shd w:val="clear" w:color="auto" w:fill="F0F0F0"/>
            <w:tcMar>
              <w:top w:w="30" w:type="dxa"/>
              <w:left w:w="45" w:type="dxa"/>
              <w:bottom w:w="30" w:type="dxa"/>
              <w:right w:w="45" w:type="dxa"/>
            </w:tcMar>
            <w:vAlign w:val="bottom"/>
            <w:hideMark/>
          </w:tcPr>
          <w:p w14:paraId="59276ACD" w14:textId="77777777" w:rsidR="00AE7934" w:rsidRDefault="00AE7934">
            <w:pPr>
              <w:jc w:val="center"/>
              <w:rPr>
                <w:rFonts w:cs="Arial"/>
                <w:b/>
                <w:bCs/>
                <w:szCs w:val="20"/>
              </w:rPr>
            </w:pPr>
            <w:r>
              <w:rPr>
                <w:rFonts w:cs="Arial"/>
                <w:b/>
                <w:bCs/>
                <w:szCs w:val="20"/>
              </w:rPr>
              <w:t>Podlahová plocha bytu</w:t>
            </w:r>
          </w:p>
        </w:tc>
        <w:tc>
          <w:tcPr>
            <w:tcW w:w="0" w:type="auto"/>
            <w:shd w:val="clear" w:color="auto" w:fill="F0F0F0"/>
            <w:tcMar>
              <w:top w:w="30" w:type="dxa"/>
              <w:left w:w="45" w:type="dxa"/>
              <w:bottom w:w="30" w:type="dxa"/>
              <w:right w:w="45" w:type="dxa"/>
            </w:tcMar>
            <w:vAlign w:val="bottom"/>
            <w:hideMark/>
          </w:tcPr>
          <w:p w14:paraId="58391E21"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1</w:t>
            </w:r>
          </w:p>
        </w:tc>
        <w:tc>
          <w:tcPr>
            <w:tcW w:w="0" w:type="auto"/>
            <w:shd w:val="clear" w:color="auto" w:fill="F0F0F0"/>
            <w:tcMar>
              <w:top w:w="30" w:type="dxa"/>
              <w:left w:w="45" w:type="dxa"/>
              <w:bottom w:w="30" w:type="dxa"/>
              <w:right w:w="45" w:type="dxa"/>
            </w:tcMar>
            <w:vAlign w:val="bottom"/>
            <w:hideMark/>
          </w:tcPr>
          <w:p w14:paraId="2245AF6F"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2</w:t>
            </w:r>
          </w:p>
        </w:tc>
        <w:tc>
          <w:tcPr>
            <w:tcW w:w="0" w:type="auto"/>
            <w:shd w:val="clear" w:color="auto" w:fill="F0F0F0"/>
            <w:tcMar>
              <w:top w:w="30" w:type="dxa"/>
              <w:left w:w="45" w:type="dxa"/>
              <w:bottom w:w="30" w:type="dxa"/>
              <w:right w:w="45" w:type="dxa"/>
            </w:tcMar>
            <w:vAlign w:val="bottom"/>
            <w:hideMark/>
          </w:tcPr>
          <w:p w14:paraId="6667E7D3"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3</w:t>
            </w:r>
          </w:p>
        </w:tc>
        <w:tc>
          <w:tcPr>
            <w:tcW w:w="0" w:type="auto"/>
            <w:shd w:val="clear" w:color="auto" w:fill="F0F0F0"/>
            <w:tcMar>
              <w:top w:w="30" w:type="dxa"/>
              <w:left w:w="45" w:type="dxa"/>
              <w:bottom w:w="30" w:type="dxa"/>
              <w:right w:w="45" w:type="dxa"/>
            </w:tcMar>
            <w:vAlign w:val="bottom"/>
            <w:hideMark/>
          </w:tcPr>
          <w:p w14:paraId="3B3573D4"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4</w:t>
            </w:r>
          </w:p>
        </w:tc>
        <w:tc>
          <w:tcPr>
            <w:tcW w:w="0" w:type="auto"/>
            <w:shd w:val="clear" w:color="auto" w:fill="F0F0F0"/>
            <w:tcMar>
              <w:top w:w="30" w:type="dxa"/>
              <w:left w:w="45" w:type="dxa"/>
              <w:bottom w:w="30" w:type="dxa"/>
              <w:right w:w="45" w:type="dxa"/>
            </w:tcMar>
            <w:vAlign w:val="bottom"/>
            <w:hideMark/>
          </w:tcPr>
          <w:p w14:paraId="0CA94E41"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5 až 6</w:t>
            </w:r>
          </w:p>
        </w:tc>
        <w:tc>
          <w:tcPr>
            <w:tcW w:w="0" w:type="auto"/>
            <w:shd w:val="clear" w:color="auto" w:fill="F0F0F0"/>
            <w:tcMar>
              <w:top w:w="30" w:type="dxa"/>
              <w:left w:w="45" w:type="dxa"/>
              <w:bottom w:w="30" w:type="dxa"/>
              <w:right w:w="45" w:type="dxa"/>
            </w:tcMar>
            <w:vAlign w:val="bottom"/>
            <w:hideMark/>
          </w:tcPr>
          <w:p w14:paraId="562BDCF8"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7 až 8</w:t>
            </w:r>
          </w:p>
        </w:tc>
        <w:tc>
          <w:tcPr>
            <w:tcW w:w="0" w:type="auto"/>
            <w:shd w:val="clear" w:color="auto" w:fill="F0F0F0"/>
            <w:tcMar>
              <w:top w:w="30" w:type="dxa"/>
              <w:left w:w="45" w:type="dxa"/>
              <w:bottom w:w="30" w:type="dxa"/>
              <w:right w:w="45" w:type="dxa"/>
            </w:tcMar>
            <w:vAlign w:val="bottom"/>
            <w:hideMark/>
          </w:tcPr>
          <w:p w14:paraId="6BC8E943"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9 až 12</w:t>
            </w:r>
          </w:p>
        </w:tc>
        <w:tc>
          <w:tcPr>
            <w:tcW w:w="0" w:type="auto"/>
            <w:shd w:val="clear" w:color="auto" w:fill="F0F0F0"/>
            <w:tcMar>
              <w:top w:w="30" w:type="dxa"/>
              <w:left w:w="45" w:type="dxa"/>
              <w:bottom w:w="30" w:type="dxa"/>
              <w:right w:w="45" w:type="dxa"/>
            </w:tcMar>
            <w:vAlign w:val="bottom"/>
            <w:hideMark/>
          </w:tcPr>
          <w:p w14:paraId="15A9A102"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13 a více</w:t>
            </w:r>
          </w:p>
        </w:tc>
      </w:tr>
      <w:tr w:rsidR="00AE7934" w14:paraId="4C2D6D13" w14:textId="77777777" w:rsidTr="00AE7934">
        <w:tc>
          <w:tcPr>
            <w:tcW w:w="0" w:type="auto"/>
            <w:tcMar>
              <w:top w:w="30" w:type="dxa"/>
              <w:left w:w="45" w:type="dxa"/>
              <w:bottom w:w="30" w:type="dxa"/>
              <w:right w:w="45" w:type="dxa"/>
            </w:tcMar>
            <w:vAlign w:val="center"/>
            <w:hideMark/>
          </w:tcPr>
          <w:p w14:paraId="3D04A118" w14:textId="77777777" w:rsidR="00AE7934" w:rsidRDefault="00AE7934">
            <w:pPr>
              <w:rPr>
                <w:rFonts w:cs="Arial"/>
                <w:szCs w:val="20"/>
              </w:rPr>
            </w:pPr>
            <w:r>
              <w:rPr>
                <w:rFonts w:cs="Arial"/>
                <w:szCs w:val="20"/>
              </w:rPr>
              <w:t>&lt; 37,9 m</w:t>
            </w:r>
            <w:r>
              <w:rPr>
                <w:rFonts w:cs="Arial"/>
                <w:szCs w:val="20"/>
                <w:vertAlign w:val="superscript"/>
              </w:rPr>
              <w:t>2</w:t>
            </w:r>
          </w:p>
        </w:tc>
        <w:tc>
          <w:tcPr>
            <w:tcW w:w="0" w:type="auto"/>
            <w:tcMar>
              <w:top w:w="30" w:type="dxa"/>
              <w:left w:w="45" w:type="dxa"/>
              <w:bottom w:w="30" w:type="dxa"/>
              <w:right w:w="45" w:type="dxa"/>
            </w:tcMar>
            <w:vAlign w:val="center"/>
            <w:hideMark/>
          </w:tcPr>
          <w:p w14:paraId="75A4E3DE"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51C6A6CC" w14:textId="77777777" w:rsidR="00AE7934" w:rsidRDefault="00AE7934">
            <w:pPr>
              <w:jc w:val="center"/>
              <w:rPr>
                <w:rFonts w:cs="Arial"/>
                <w:szCs w:val="20"/>
              </w:rPr>
            </w:pPr>
            <w:r>
              <w:rPr>
                <w:rFonts w:cs="Arial"/>
                <w:szCs w:val="20"/>
              </w:rPr>
              <w:t>minimální standard</w:t>
            </w:r>
          </w:p>
        </w:tc>
        <w:tc>
          <w:tcPr>
            <w:tcW w:w="0" w:type="auto"/>
            <w:tcMar>
              <w:top w:w="30" w:type="dxa"/>
              <w:left w:w="45" w:type="dxa"/>
              <w:bottom w:w="30" w:type="dxa"/>
              <w:right w:w="45" w:type="dxa"/>
            </w:tcMar>
            <w:vAlign w:val="center"/>
            <w:hideMark/>
          </w:tcPr>
          <w:p w14:paraId="4CF9B05B"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21EF8181"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7C4801A9"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71749B64"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217A33DB"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68241B05" w14:textId="77777777" w:rsidR="00AE7934" w:rsidRDefault="00AE7934">
            <w:pPr>
              <w:jc w:val="center"/>
              <w:rPr>
                <w:rFonts w:cs="Arial"/>
                <w:b/>
                <w:bCs/>
                <w:szCs w:val="20"/>
              </w:rPr>
            </w:pPr>
            <w:r>
              <w:rPr>
                <w:rFonts w:cs="Arial"/>
                <w:b/>
                <w:bCs/>
                <w:color w:val="000000"/>
                <w:szCs w:val="20"/>
              </w:rPr>
              <w:t>přelidněný</w:t>
            </w:r>
          </w:p>
        </w:tc>
      </w:tr>
      <w:tr w:rsidR="00AE7934" w14:paraId="7544F342" w14:textId="77777777" w:rsidTr="00AE7934">
        <w:tc>
          <w:tcPr>
            <w:tcW w:w="0" w:type="auto"/>
            <w:tcMar>
              <w:top w:w="30" w:type="dxa"/>
              <w:left w:w="45" w:type="dxa"/>
              <w:bottom w:w="30" w:type="dxa"/>
              <w:right w:w="45" w:type="dxa"/>
            </w:tcMar>
            <w:vAlign w:val="center"/>
            <w:hideMark/>
          </w:tcPr>
          <w:p w14:paraId="05BE5F14" w14:textId="77777777" w:rsidR="00AE7934" w:rsidRDefault="00AE7934">
            <w:pPr>
              <w:rPr>
                <w:rFonts w:cs="Arial"/>
                <w:szCs w:val="20"/>
              </w:rPr>
            </w:pPr>
            <w:r>
              <w:rPr>
                <w:rFonts w:cs="Arial"/>
                <w:szCs w:val="20"/>
              </w:rPr>
              <w:t>38 - 51,9 m</w:t>
            </w:r>
            <w:r>
              <w:rPr>
                <w:rFonts w:cs="Arial"/>
                <w:szCs w:val="20"/>
                <w:vertAlign w:val="superscript"/>
              </w:rPr>
              <w:t>2</w:t>
            </w:r>
          </w:p>
        </w:tc>
        <w:tc>
          <w:tcPr>
            <w:tcW w:w="0" w:type="auto"/>
            <w:tcMar>
              <w:top w:w="30" w:type="dxa"/>
              <w:left w:w="45" w:type="dxa"/>
              <w:bottom w:w="30" w:type="dxa"/>
              <w:right w:w="45" w:type="dxa"/>
            </w:tcMar>
            <w:vAlign w:val="center"/>
            <w:hideMark/>
          </w:tcPr>
          <w:p w14:paraId="73522854"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31E202D9"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4693FAB3" w14:textId="77777777" w:rsidR="00AE7934" w:rsidRDefault="00AE7934">
            <w:pPr>
              <w:jc w:val="center"/>
              <w:rPr>
                <w:rFonts w:cs="Arial"/>
                <w:szCs w:val="20"/>
              </w:rPr>
            </w:pPr>
            <w:r>
              <w:rPr>
                <w:rFonts w:cs="Arial"/>
                <w:szCs w:val="20"/>
              </w:rPr>
              <w:t>minimální standard</w:t>
            </w:r>
          </w:p>
        </w:tc>
        <w:tc>
          <w:tcPr>
            <w:tcW w:w="0" w:type="auto"/>
            <w:tcMar>
              <w:top w:w="30" w:type="dxa"/>
              <w:left w:w="45" w:type="dxa"/>
              <w:bottom w:w="30" w:type="dxa"/>
              <w:right w:w="45" w:type="dxa"/>
            </w:tcMar>
            <w:vAlign w:val="center"/>
            <w:hideMark/>
          </w:tcPr>
          <w:p w14:paraId="360583E3"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0CA173A9"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28DEC5DB"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05592386"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47B491AA" w14:textId="77777777" w:rsidR="00AE7934" w:rsidRDefault="00AE7934">
            <w:pPr>
              <w:jc w:val="center"/>
              <w:rPr>
                <w:rFonts w:cs="Arial"/>
                <w:b/>
                <w:bCs/>
                <w:szCs w:val="20"/>
              </w:rPr>
            </w:pPr>
            <w:r>
              <w:rPr>
                <w:rFonts w:cs="Arial"/>
                <w:b/>
                <w:bCs/>
                <w:color w:val="000000"/>
                <w:szCs w:val="20"/>
              </w:rPr>
              <w:t>přelidněný</w:t>
            </w:r>
          </w:p>
        </w:tc>
      </w:tr>
      <w:tr w:rsidR="00AE7934" w14:paraId="38B58E7F" w14:textId="77777777" w:rsidTr="00AE7934">
        <w:tc>
          <w:tcPr>
            <w:tcW w:w="0" w:type="auto"/>
            <w:tcMar>
              <w:top w:w="30" w:type="dxa"/>
              <w:left w:w="45" w:type="dxa"/>
              <w:bottom w:w="30" w:type="dxa"/>
              <w:right w:w="45" w:type="dxa"/>
            </w:tcMar>
            <w:vAlign w:val="center"/>
            <w:hideMark/>
          </w:tcPr>
          <w:p w14:paraId="71351645" w14:textId="77777777" w:rsidR="00AE7934" w:rsidRDefault="00AE7934">
            <w:pPr>
              <w:rPr>
                <w:rFonts w:cs="Arial"/>
                <w:szCs w:val="20"/>
              </w:rPr>
            </w:pPr>
            <w:r>
              <w:rPr>
                <w:rFonts w:cs="Arial"/>
                <w:szCs w:val="20"/>
              </w:rPr>
              <w:t>52 - 67,9 m</w:t>
            </w:r>
            <w:r>
              <w:rPr>
                <w:rFonts w:cs="Arial"/>
                <w:szCs w:val="20"/>
                <w:vertAlign w:val="superscript"/>
              </w:rPr>
              <w:t>2</w:t>
            </w:r>
          </w:p>
        </w:tc>
        <w:tc>
          <w:tcPr>
            <w:tcW w:w="0" w:type="auto"/>
            <w:tcMar>
              <w:top w:w="30" w:type="dxa"/>
              <w:left w:w="45" w:type="dxa"/>
              <w:bottom w:w="30" w:type="dxa"/>
              <w:right w:w="45" w:type="dxa"/>
            </w:tcMar>
            <w:vAlign w:val="center"/>
            <w:hideMark/>
          </w:tcPr>
          <w:p w14:paraId="1CA45978"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68090292"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3CB47ACC"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72D7C331" w14:textId="77777777" w:rsidR="00AE7934" w:rsidRDefault="00AE7934">
            <w:pPr>
              <w:jc w:val="center"/>
              <w:rPr>
                <w:rFonts w:cs="Arial"/>
                <w:szCs w:val="20"/>
              </w:rPr>
            </w:pPr>
            <w:r>
              <w:rPr>
                <w:rFonts w:cs="Arial"/>
                <w:szCs w:val="20"/>
              </w:rPr>
              <w:t>minimální standard</w:t>
            </w:r>
          </w:p>
        </w:tc>
        <w:tc>
          <w:tcPr>
            <w:tcW w:w="0" w:type="auto"/>
            <w:tcMar>
              <w:top w:w="30" w:type="dxa"/>
              <w:left w:w="45" w:type="dxa"/>
              <w:bottom w:w="30" w:type="dxa"/>
              <w:right w:w="45" w:type="dxa"/>
            </w:tcMar>
            <w:vAlign w:val="center"/>
            <w:hideMark/>
          </w:tcPr>
          <w:p w14:paraId="5A681BE5"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67030C03"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7AF0B789"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7FBE0AE9" w14:textId="77777777" w:rsidR="00AE7934" w:rsidRDefault="00AE7934">
            <w:pPr>
              <w:jc w:val="center"/>
              <w:rPr>
                <w:rFonts w:cs="Arial"/>
                <w:b/>
                <w:bCs/>
                <w:szCs w:val="20"/>
              </w:rPr>
            </w:pPr>
            <w:r>
              <w:rPr>
                <w:rFonts w:cs="Arial"/>
                <w:b/>
                <w:bCs/>
                <w:color w:val="000000"/>
                <w:szCs w:val="20"/>
              </w:rPr>
              <w:t>přelidněný</w:t>
            </w:r>
          </w:p>
        </w:tc>
      </w:tr>
      <w:tr w:rsidR="00AE7934" w14:paraId="3C8A54D2" w14:textId="77777777" w:rsidTr="00AE7934">
        <w:tc>
          <w:tcPr>
            <w:tcW w:w="0" w:type="auto"/>
            <w:tcMar>
              <w:top w:w="30" w:type="dxa"/>
              <w:left w:w="45" w:type="dxa"/>
              <w:bottom w:w="30" w:type="dxa"/>
              <w:right w:w="45" w:type="dxa"/>
            </w:tcMar>
            <w:vAlign w:val="center"/>
            <w:hideMark/>
          </w:tcPr>
          <w:p w14:paraId="28286FBC" w14:textId="77777777" w:rsidR="00AE7934" w:rsidRDefault="00AE7934">
            <w:pPr>
              <w:rPr>
                <w:rFonts w:cs="Arial"/>
                <w:szCs w:val="20"/>
              </w:rPr>
            </w:pPr>
            <w:r>
              <w:rPr>
                <w:rFonts w:cs="Arial"/>
                <w:szCs w:val="20"/>
              </w:rPr>
              <w:t>68 - 81,9 m</w:t>
            </w:r>
            <w:r>
              <w:rPr>
                <w:rFonts w:cs="Arial"/>
                <w:szCs w:val="20"/>
                <w:vertAlign w:val="superscript"/>
              </w:rPr>
              <w:t>2</w:t>
            </w:r>
          </w:p>
        </w:tc>
        <w:tc>
          <w:tcPr>
            <w:tcW w:w="0" w:type="auto"/>
            <w:tcMar>
              <w:top w:w="30" w:type="dxa"/>
              <w:left w:w="45" w:type="dxa"/>
              <w:bottom w:w="30" w:type="dxa"/>
              <w:right w:w="45" w:type="dxa"/>
            </w:tcMar>
            <w:vAlign w:val="center"/>
            <w:hideMark/>
          </w:tcPr>
          <w:p w14:paraId="325351B8"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4172D231"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6CF66D2D"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44C74D36"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2CE9DFD1" w14:textId="77777777" w:rsidR="00AE7934" w:rsidRDefault="00AE7934">
            <w:pPr>
              <w:jc w:val="center"/>
              <w:rPr>
                <w:rFonts w:cs="Arial"/>
                <w:szCs w:val="20"/>
              </w:rPr>
            </w:pPr>
            <w:r>
              <w:rPr>
                <w:rFonts w:cs="Arial"/>
                <w:szCs w:val="20"/>
              </w:rPr>
              <w:t>minimální standard</w:t>
            </w:r>
          </w:p>
        </w:tc>
        <w:tc>
          <w:tcPr>
            <w:tcW w:w="0" w:type="auto"/>
            <w:tcMar>
              <w:top w:w="30" w:type="dxa"/>
              <w:left w:w="45" w:type="dxa"/>
              <w:bottom w:w="30" w:type="dxa"/>
              <w:right w:w="45" w:type="dxa"/>
            </w:tcMar>
            <w:vAlign w:val="center"/>
            <w:hideMark/>
          </w:tcPr>
          <w:p w14:paraId="233C2E8B"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56D24743"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5C04BB17" w14:textId="77777777" w:rsidR="00AE7934" w:rsidRDefault="00AE7934">
            <w:pPr>
              <w:jc w:val="center"/>
              <w:rPr>
                <w:rFonts w:cs="Arial"/>
                <w:b/>
                <w:bCs/>
                <w:szCs w:val="20"/>
              </w:rPr>
            </w:pPr>
            <w:r>
              <w:rPr>
                <w:rFonts w:cs="Arial"/>
                <w:b/>
                <w:bCs/>
                <w:color w:val="000000"/>
                <w:szCs w:val="20"/>
              </w:rPr>
              <w:t>přelidněný</w:t>
            </w:r>
          </w:p>
        </w:tc>
      </w:tr>
      <w:tr w:rsidR="00AE7934" w14:paraId="065BC43B" w14:textId="77777777" w:rsidTr="00AE7934">
        <w:tc>
          <w:tcPr>
            <w:tcW w:w="0" w:type="auto"/>
            <w:tcMar>
              <w:top w:w="30" w:type="dxa"/>
              <w:left w:w="45" w:type="dxa"/>
              <w:bottom w:w="30" w:type="dxa"/>
              <w:right w:w="45" w:type="dxa"/>
            </w:tcMar>
            <w:vAlign w:val="center"/>
            <w:hideMark/>
          </w:tcPr>
          <w:p w14:paraId="21E4D29C" w14:textId="77777777" w:rsidR="00AE7934" w:rsidRDefault="00AE7934">
            <w:pPr>
              <w:rPr>
                <w:rFonts w:cs="Arial"/>
                <w:szCs w:val="20"/>
              </w:rPr>
            </w:pPr>
            <w:r>
              <w:rPr>
                <w:rFonts w:cs="Arial"/>
                <w:szCs w:val="20"/>
              </w:rPr>
              <w:t>82 - 95,9 m</w:t>
            </w:r>
            <w:r>
              <w:rPr>
                <w:rFonts w:cs="Arial"/>
                <w:szCs w:val="20"/>
                <w:vertAlign w:val="superscript"/>
              </w:rPr>
              <w:t>2</w:t>
            </w:r>
          </w:p>
        </w:tc>
        <w:tc>
          <w:tcPr>
            <w:tcW w:w="0" w:type="auto"/>
            <w:tcMar>
              <w:top w:w="30" w:type="dxa"/>
              <w:left w:w="45" w:type="dxa"/>
              <w:bottom w:w="30" w:type="dxa"/>
              <w:right w:w="45" w:type="dxa"/>
            </w:tcMar>
            <w:vAlign w:val="center"/>
            <w:hideMark/>
          </w:tcPr>
          <w:p w14:paraId="627067BD"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0D4898ED"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351F78B7"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1366DC4D"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6C1E24F3"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5B7C7A35" w14:textId="77777777" w:rsidR="00AE7934" w:rsidRDefault="00AE7934">
            <w:pPr>
              <w:jc w:val="center"/>
              <w:rPr>
                <w:rFonts w:cs="Arial"/>
                <w:szCs w:val="20"/>
              </w:rPr>
            </w:pPr>
            <w:r>
              <w:rPr>
                <w:rFonts w:cs="Arial"/>
                <w:szCs w:val="20"/>
              </w:rPr>
              <w:t>minimální standard</w:t>
            </w:r>
          </w:p>
        </w:tc>
        <w:tc>
          <w:tcPr>
            <w:tcW w:w="0" w:type="auto"/>
            <w:tcMar>
              <w:top w:w="30" w:type="dxa"/>
              <w:left w:w="45" w:type="dxa"/>
              <w:bottom w:w="30" w:type="dxa"/>
              <w:right w:w="45" w:type="dxa"/>
            </w:tcMar>
            <w:vAlign w:val="center"/>
            <w:hideMark/>
          </w:tcPr>
          <w:p w14:paraId="51692DE0"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4B11D66C" w14:textId="77777777" w:rsidR="00AE7934" w:rsidRDefault="00AE7934">
            <w:pPr>
              <w:jc w:val="center"/>
              <w:rPr>
                <w:rFonts w:cs="Arial"/>
                <w:b/>
                <w:bCs/>
                <w:szCs w:val="20"/>
              </w:rPr>
            </w:pPr>
            <w:r>
              <w:rPr>
                <w:rFonts w:cs="Arial"/>
                <w:b/>
                <w:bCs/>
                <w:color w:val="000000"/>
                <w:szCs w:val="20"/>
              </w:rPr>
              <w:t>přelidněný</w:t>
            </w:r>
          </w:p>
        </w:tc>
      </w:tr>
    </w:tbl>
    <w:p w14:paraId="0983BA7E" w14:textId="77777777" w:rsidR="00AE7934" w:rsidRDefault="00AE7934" w:rsidP="00AE7934">
      <w:pPr>
        <w:shd w:val="clear" w:color="auto" w:fill="FFFFFF"/>
        <w:jc w:val="both"/>
        <w:rPr>
          <w:rFonts w:cs="Arial"/>
          <w:color w:val="000000"/>
          <w:szCs w:val="20"/>
        </w:rPr>
      </w:pPr>
    </w:p>
    <w:p w14:paraId="1D9629F3" w14:textId="77777777" w:rsidR="00FB3638" w:rsidRDefault="00FB3638" w:rsidP="00AE7934">
      <w:pPr>
        <w:shd w:val="clear" w:color="auto" w:fill="FFFFFF"/>
        <w:jc w:val="both"/>
        <w:rPr>
          <w:rFonts w:cs="Arial"/>
          <w:color w:val="000000"/>
          <w:szCs w:val="20"/>
        </w:rPr>
      </w:pPr>
    </w:p>
    <w:p w14:paraId="24D40F45" w14:textId="77777777" w:rsidR="00FB3638" w:rsidRDefault="00FB3638" w:rsidP="00AE7934">
      <w:pPr>
        <w:shd w:val="clear" w:color="auto" w:fill="FFFFFF"/>
        <w:jc w:val="both"/>
        <w:rPr>
          <w:rFonts w:cs="Arial"/>
          <w:color w:val="000000"/>
          <w:szCs w:val="20"/>
        </w:rPr>
      </w:pPr>
    </w:p>
    <w:p w14:paraId="765A822F" w14:textId="77777777" w:rsidR="00FB3638" w:rsidRDefault="00FB3638" w:rsidP="00AE7934">
      <w:pPr>
        <w:shd w:val="clear" w:color="auto" w:fill="FFFFFF"/>
        <w:jc w:val="both"/>
        <w:rPr>
          <w:rFonts w:cs="Arial"/>
          <w:color w:val="000000"/>
          <w:szCs w:val="20"/>
        </w:rPr>
      </w:pPr>
    </w:p>
    <w:p w14:paraId="09414727" w14:textId="77777777" w:rsidR="00FB3638" w:rsidRDefault="00FB3638" w:rsidP="00AE7934">
      <w:pPr>
        <w:shd w:val="clear" w:color="auto" w:fill="FFFFFF"/>
        <w:jc w:val="both"/>
        <w:rPr>
          <w:rFonts w:cs="Arial"/>
          <w:color w:val="000000"/>
          <w:szCs w:val="20"/>
        </w:rPr>
      </w:pPr>
    </w:p>
    <w:p w14:paraId="2853633C" w14:textId="77777777" w:rsidR="00FB3638" w:rsidRDefault="00FB3638" w:rsidP="00AE7934">
      <w:pPr>
        <w:shd w:val="clear" w:color="auto" w:fill="FFFFFF"/>
        <w:jc w:val="both"/>
        <w:rPr>
          <w:rFonts w:cs="Arial"/>
          <w:color w:val="000000"/>
          <w:szCs w:val="20"/>
        </w:rPr>
      </w:pPr>
    </w:p>
    <w:p w14:paraId="2212B3E3" w14:textId="77777777" w:rsidR="00BA343F" w:rsidRDefault="00BA343F" w:rsidP="00AE7934">
      <w:pPr>
        <w:shd w:val="clear" w:color="auto" w:fill="FFFFFF"/>
        <w:jc w:val="both"/>
        <w:rPr>
          <w:rFonts w:cs="Arial"/>
          <w:color w:val="000000"/>
          <w:szCs w:val="20"/>
        </w:rPr>
      </w:pPr>
    </w:p>
    <w:p w14:paraId="428BE30E" w14:textId="77777777" w:rsidR="00BA343F" w:rsidRDefault="00BA343F" w:rsidP="00AE7934">
      <w:pPr>
        <w:shd w:val="clear" w:color="auto" w:fill="FFFFFF"/>
        <w:jc w:val="both"/>
        <w:rPr>
          <w:rFonts w:cs="Arial"/>
          <w:color w:val="000000"/>
          <w:szCs w:val="20"/>
        </w:rPr>
      </w:pPr>
    </w:p>
    <w:p w14:paraId="0B9276E4" w14:textId="77777777" w:rsidR="00BA343F" w:rsidRDefault="00BA343F" w:rsidP="00AE7934">
      <w:pPr>
        <w:shd w:val="clear" w:color="auto" w:fill="FFFFFF"/>
        <w:jc w:val="both"/>
        <w:rPr>
          <w:rFonts w:cs="Arial"/>
          <w:color w:val="000000"/>
          <w:szCs w:val="20"/>
        </w:rPr>
      </w:pPr>
    </w:p>
    <w:p w14:paraId="0CE7C466" w14:textId="77777777" w:rsidR="00AE7934" w:rsidRDefault="00AE7934" w:rsidP="00AE7934">
      <w:pPr>
        <w:shd w:val="clear" w:color="auto" w:fill="FFFFFF"/>
        <w:jc w:val="both"/>
        <w:rPr>
          <w:rFonts w:cs="Arial"/>
          <w:color w:val="000000"/>
          <w:szCs w:val="20"/>
        </w:rPr>
      </w:pPr>
      <w:r>
        <w:rPr>
          <w:rFonts w:cs="Arial"/>
          <w:color w:val="000000"/>
          <w:szCs w:val="20"/>
        </w:rPr>
        <w:t xml:space="preserve">Tabulka 2: Přiměřenost </w:t>
      </w:r>
      <w:r w:rsidRPr="00BA343F">
        <w:rPr>
          <w:rFonts w:cs="Arial"/>
          <w:color w:val="000000"/>
          <w:szCs w:val="20"/>
        </w:rPr>
        <w:t>bytu s ohledem na velikost společně hospodařící domácnosti podle počtu obytných místností v bytě v případě</w:t>
      </w:r>
      <w:r>
        <w:rPr>
          <w:rFonts w:cs="Arial"/>
          <w:color w:val="000000"/>
          <w:szCs w:val="20"/>
        </w:rPr>
        <w:t xml:space="preserve"> minimálního standardu podle podlahové plochy bytu</w:t>
      </w:r>
    </w:p>
    <w:p w14:paraId="3266400B" w14:textId="77777777" w:rsidR="00AE7934" w:rsidRDefault="00AE7934" w:rsidP="00AE7934">
      <w:pPr>
        <w:shd w:val="clear" w:color="auto" w:fill="FFFFFF"/>
        <w:jc w:val="both"/>
        <w:rPr>
          <w:rFonts w:cs="Arial"/>
          <w:color w:val="000000"/>
          <w:szCs w:val="20"/>
        </w:rPr>
      </w:pPr>
    </w:p>
    <w:tbl>
      <w:tblPr>
        <w:tblW w:w="12000" w:type="dxa"/>
        <w:tblCellMar>
          <w:left w:w="0" w:type="dxa"/>
          <w:right w:w="0" w:type="dxa"/>
        </w:tblCellMar>
        <w:tblLook w:val="04A0" w:firstRow="1" w:lastRow="0" w:firstColumn="1" w:lastColumn="0" w:noHBand="0" w:noVBand="1"/>
      </w:tblPr>
      <w:tblGrid>
        <w:gridCol w:w="1367"/>
        <w:gridCol w:w="1368"/>
        <w:gridCol w:w="1367"/>
        <w:gridCol w:w="1367"/>
        <w:gridCol w:w="1367"/>
        <w:gridCol w:w="1291"/>
        <w:gridCol w:w="1291"/>
        <w:gridCol w:w="1291"/>
        <w:gridCol w:w="1291"/>
      </w:tblGrid>
      <w:tr w:rsidR="00AE7934" w14:paraId="43E342E4" w14:textId="77777777" w:rsidTr="00AE7934">
        <w:tc>
          <w:tcPr>
            <w:tcW w:w="0" w:type="auto"/>
            <w:shd w:val="clear" w:color="auto" w:fill="F0F0F0"/>
            <w:tcMar>
              <w:top w:w="30" w:type="dxa"/>
              <w:left w:w="45" w:type="dxa"/>
              <w:bottom w:w="30" w:type="dxa"/>
              <w:right w:w="45" w:type="dxa"/>
            </w:tcMar>
            <w:vAlign w:val="bottom"/>
            <w:hideMark/>
          </w:tcPr>
          <w:p w14:paraId="17B3A84F" w14:textId="77777777" w:rsidR="00AE7934" w:rsidRDefault="00AE7934">
            <w:pPr>
              <w:jc w:val="center"/>
              <w:rPr>
                <w:rFonts w:cs="Arial"/>
                <w:b/>
                <w:bCs/>
                <w:szCs w:val="20"/>
              </w:rPr>
            </w:pPr>
            <w:r>
              <w:rPr>
                <w:rFonts w:cs="Arial"/>
                <w:b/>
                <w:bCs/>
                <w:szCs w:val="20"/>
              </w:rPr>
              <w:t>Počet obytných místností</w:t>
            </w:r>
          </w:p>
        </w:tc>
        <w:tc>
          <w:tcPr>
            <w:tcW w:w="0" w:type="auto"/>
            <w:shd w:val="clear" w:color="auto" w:fill="F0F0F0"/>
            <w:tcMar>
              <w:top w:w="30" w:type="dxa"/>
              <w:left w:w="45" w:type="dxa"/>
              <w:bottom w:w="30" w:type="dxa"/>
              <w:right w:w="45" w:type="dxa"/>
            </w:tcMar>
            <w:vAlign w:val="bottom"/>
            <w:hideMark/>
          </w:tcPr>
          <w:p w14:paraId="624CAF05"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1</w:t>
            </w:r>
          </w:p>
        </w:tc>
        <w:tc>
          <w:tcPr>
            <w:tcW w:w="0" w:type="auto"/>
            <w:shd w:val="clear" w:color="auto" w:fill="F0F0F0"/>
            <w:tcMar>
              <w:top w:w="30" w:type="dxa"/>
              <w:left w:w="45" w:type="dxa"/>
              <w:bottom w:w="30" w:type="dxa"/>
              <w:right w:w="45" w:type="dxa"/>
            </w:tcMar>
            <w:vAlign w:val="bottom"/>
            <w:hideMark/>
          </w:tcPr>
          <w:p w14:paraId="32E3483B"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2</w:t>
            </w:r>
          </w:p>
        </w:tc>
        <w:tc>
          <w:tcPr>
            <w:tcW w:w="0" w:type="auto"/>
            <w:shd w:val="clear" w:color="auto" w:fill="F0F0F0"/>
            <w:tcMar>
              <w:top w:w="30" w:type="dxa"/>
              <w:left w:w="45" w:type="dxa"/>
              <w:bottom w:w="30" w:type="dxa"/>
              <w:right w:w="45" w:type="dxa"/>
            </w:tcMar>
            <w:vAlign w:val="bottom"/>
            <w:hideMark/>
          </w:tcPr>
          <w:p w14:paraId="5456CB1C"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3</w:t>
            </w:r>
          </w:p>
        </w:tc>
        <w:tc>
          <w:tcPr>
            <w:tcW w:w="0" w:type="auto"/>
            <w:shd w:val="clear" w:color="auto" w:fill="F0F0F0"/>
            <w:tcMar>
              <w:top w:w="30" w:type="dxa"/>
              <w:left w:w="45" w:type="dxa"/>
              <w:bottom w:w="30" w:type="dxa"/>
              <w:right w:w="45" w:type="dxa"/>
            </w:tcMar>
            <w:vAlign w:val="bottom"/>
            <w:hideMark/>
          </w:tcPr>
          <w:p w14:paraId="20BADC8C"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4</w:t>
            </w:r>
          </w:p>
        </w:tc>
        <w:tc>
          <w:tcPr>
            <w:tcW w:w="0" w:type="auto"/>
            <w:shd w:val="clear" w:color="auto" w:fill="F0F0F0"/>
            <w:tcMar>
              <w:top w:w="30" w:type="dxa"/>
              <w:left w:w="45" w:type="dxa"/>
              <w:bottom w:w="30" w:type="dxa"/>
              <w:right w:w="45" w:type="dxa"/>
            </w:tcMar>
            <w:vAlign w:val="bottom"/>
            <w:hideMark/>
          </w:tcPr>
          <w:p w14:paraId="3BABA580"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5 až 6</w:t>
            </w:r>
          </w:p>
        </w:tc>
        <w:tc>
          <w:tcPr>
            <w:tcW w:w="0" w:type="auto"/>
            <w:shd w:val="clear" w:color="auto" w:fill="F0F0F0"/>
            <w:tcMar>
              <w:top w:w="30" w:type="dxa"/>
              <w:left w:w="45" w:type="dxa"/>
              <w:bottom w:w="30" w:type="dxa"/>
              <w:right w:w="45" w:type="dxa"/>
            </w:tcMar>
            <w:vAlign w:val="bottom"/>
            <w:hideMark/>
          </w:tcPr>
          <w:p w14:paraId="42F8F3A5"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7 až 8</w:t>
            </w:r>
          </w:p>
        </w:tc>
        <w:tc>
          <w:tcPr>
            <w:tcW w:w="0" w:type="auto"/>
            <w:shd w:val="clear" w:color="auto" w:fill="F0F0F0"/>
            <w:tcMar>
              <w:top w:w="30" w:type="dxa"/>
              <w:left w:w="45" w:type="dxa"/>
              <w:bottom w:w="30" w:type="dxa"/>
              <w:right w:w="45" w:type="dxa"/>
            </w:tcMar>
            <w:vAlign w:val="bottom"/>
            <w:hideMark/>
          </w:tcPr>
          <w:p w14:paraId="63A7DA1B"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9 až 12</w:t>
            </w:r>
          </w:p>
        </w:tc>
        <w:tc>
          <w:tcPr>
            <w:tcW w:w="0" w:type="auto"/>
            <w:shd w:val="clear" w:color="auto" w:fill="F0F0F0"/>
            <w:tcMar>
              <w:top w:w="30" w:type="dxa"/>
              <w:left w:w="45" w:type="dxa"/>
              <w:bottom w:w="30" w:type="dxa"/>
              <w:right w:w="45" w:type="dxa"/>
            </w:tcMar>
            <w:vAlign w:val="bottom"/>
            <w:hideMark/>
          </w:tcPr>
          <w:p w14:paraId="39671D7E" w14:textId="77777777" w:rsidR="00AE7934" w:rsidRDefault="00AE7934">
            <w:pPr>
              <w:jc w:val="center"/>
              <w:rPr>
                <w:rFonts w:cs="Arial"/>
                <w:b/>
                <w:bCs/>
                <w:szCs w:val="20"/>
              </w:rPr>
            </w:pPr>
            <w:r>
              <w:rPr>
                <w:rFonts w:cs="Arial"/>
                <w:b/>
                <w:bCs/>
                <w:color w:val="000000"/>
                <w:szCs w:val="20"/>
              </w:rPr>
              <w:t>počet osob v bytě:</w:t>
            </w:r>
            <w:r>
              <w:rPr>
                <w:rFonts w:cs="Arial"/>
                <w:b/>
                <w:bCs/>
                <w:color w:val="000000"/>
                <w:szCs w:val="20"/>
              </w:rPr>
              <w:br/>
              <w:t>13 a více</w:t>
            </w:r>
          </w:p>
        </w:tc>
      </w:tr>
      <w:tr w:rsidR="00AE7934" w14:paraId="70FD4EB8" w14:textId="77777777" w:rsidTr="00AE7934">
        <w:tc>
          <w:tcPr>
            <w:tcW w:w="0" w:type="auto"/>
            <w:tcMar>
              <w:top w:w="30" w:type="dxa"/>
              <w:left w:w="45" w:type="dxa"/>
              <w:bottom w:w="30" w:type="dxa"/>
              <w:right w:w="45" w:type="dxa"/>
            </w:tcMar>
            <w:vAlign w:val="center"/>
            <w:hideMark/>
          </w:tcPr>
          <w:p w14:paraId="0089EFB0" w14:textId="77777777" w:rsidR="00AE7934" w:rsidRDefault="00AE7934">
            <w:pPr>
              <w:jc w:val="center"/>
              <w:rPr>
                <w:rFonts w:cs="Arial"/>
                <w:szCs w:val="20"/>
              </w:rPr>
            </w:pPr>
            <w:r>
              <w:rPr>
                <w:rFonts w:cs="Arial"/>
                <w:szCs w:val="20"/>
              </w:rPr>
              <w:t>1</w:t>
            </w:r>
          </w:p>
        </w:tc>
        <w:tc>
          <w:tcPr>
            <w:tcW w:w="0" w:type="auto"/>
            <w:tcMar>
              <w:top w:w="30" w:type="dxa"/>
              <w:left w:w="45" w:type="dxa"/>
              <w:bottom w:w="30" w:type="dxa"/>
              <w:right w:w="45" w:type="dxa"/>
            </w:tcMar>
            <w:vAlign w:val="center"/>
            <w:hideMark/>
          </w:tcPr>
          <w:p w14:paraId="46BCD1A8"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54C40601"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7F272FD9"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1D638FB8"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0F8D514D"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3B74A714"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053A7546"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2EB1AB17" w14:textId="77777777" w:rsidR="00AE7934" w:rsidRDefault="00AE7934">
            <w:pPr>
              <w:jc w:val="center"/>
              <w:rPr>
                <w:rFonts w:cs="Arial"/>
                <w:b/>
                <w:bCs/>
                <w:szCs w:val="20"/>
              </w:rPr>
            </w:pPr>
            <w:r>
              <w:rPr>
                <w:rFonts w:cs="Arial"/>
                <w:b/>
                <w:bCs/>
                <w:color w:val="000000"/>
                <w:szCs w:val="20"/>
              </w:rPr>
              <w:t>přelidněný</w:t>
            </w:r>
          </w:p>
        </w:tc>
      </w:tr>
      <w:tr w:rsidR="00AE7934" w14:paraId="0213398B" w14:textId="77777777" w:rsidTr="00AE7934">
        <w:tc>
          <w:tcPr>
            <w:tcW w:w="0" w:type="auto"/>
            <w:tcMar>
              <w:top w:w="30" w:type="dxa"/>
              <w:left w:w="45" w:type="dxa"/>
              <w:bottom w:w="30" w:type="dxa"/>
              <w:right w:w="45" w:type="dxa"/>
            </w:tcMar>
            <w:vAlign w:val="center"/>
            <w:hideMark/>
          </w:tcPr>
          <w:p w14:paraId="40C1DFFB" w14:textId="77777777" w:rsidR="00AE7934" w:rsidRDefault="00AE7934">
            <w:pPr>
              <w:jc w:val="center"/>
              <w:rPr>
                <w:rFonts w:cs="Arial"/>
                <w:szCs w:val="20"/>
              </w:rPr>
            </w:pPr>
            <w:r>
              <w:rPr>
                <w:rFonts w:cs="Arial"/>
                <w:szCs w:val="20"/>
              </w:rPr>
              <w:t>2</w:t>
            </w:r>
          </w:p>
        </w:tc>
        <w:tc>
          <w:tcPr>
            <w:tcW w:w="0" w:type="auto"/>
            <w:tcMar>
              <w:top w:w="30" w:type="dxa"/>
              <w:left w:w="45" w:type="dxa"/>
              <w:bottom w:w="30" w:type="dxa"/>
              <w:right w:w="45" w:type="dxa"/>
            </w:tcMar>
            <w:vAlign w:val="center"/>
            <w:hideMark/>
          </w:tcPr>
          <w:p w14:paraId="68BA72D4"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53D41644"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0A671416"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2F7A3A41"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7F19942B"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13563D8B"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6E83C427"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5008F105" w14:textId="77777777" w:rsidR="00AE7934" w:rsidRDefault="00AE7934">
            <w:pPr>
              <w:jc w:val="center"/>
              <w:rPr>
                <w:rFonts w:cs="Arial"/>
                <w:b/>
                <w:bCs/>
                <w:szCs w:val="20"/>
              </w:rPr>
            </w:pPr>
            <w:r>
              <w:rPr>
                <w:rFonts w:cs="Arial"/>
                <w:b/>
                <w:bCs/>
                <w:color w:val="000000"/>
                <w:szCs w:val="20"/>
              </w:rPr>
              <w:t>přelidněný</w:t>
            </w:r>
          </w:p>
        </w:tc>
      </w:tr>
      <w:tr w:rsidR="00AE7934" w14:paraId="12A1973D" w14:textId="77777777" w:rsidTr="00AE7934">
        <w:tc>
          <w:tcPr>
            <w:tcW w:w="0" w:type="auto"/>
            <w:tcMar>
              <w:top w:w="30" w:type="dxa"/>
              <w:left w:w="45" w:type="dxa"/>
              <w:bottom w:w="30" w:type="dxa"/>
              <w:right w:w="45" w:type="dxa"/>
            </w:tcMar>
            <w:vAlign w:val="center"/>
            <w:hideMark/>
          </w:tcPr>
          <w:p w14:paraId="36932C1D" w14:textId="77777777" w:rsidR="00AE7934" w:rsidRDefault="00AE7934">
            <w:pPr>
              <w:jc w:val="center"/>
              <w:rPr>
                <w:rFonts w:cs="Arial"/>
                <w:szCs w:val="20"/>
              </w:rPr>
            </w:pPr>
            <w:r>
              <w:rPr>
                <w:rFonts w:cs="Arial"/>
                <w:szCs w:val="20"/>
              </w:rPr>
              <w:t>3</w:t>
            </w:r>
          </w:p>
        </w:tc>
        <w:tc>
          <w:tcPr>
            <w:tcW w:w="0" w:type="auto"/>
            <w:tcMar>
              <w:top w:w="30" w:type="dxa"/>
              <w:left w:w="45" w:type="dxa"/>
              <w:bottom w:w="30" w:type="dxa"/>
              <w:right w:w="45" w:type="dxa"/>
            </w:tcMar>
            <w:vAlign w:val="center"/>
            <w:hideMark/>
          </w:tcPr>
          <w:p w14:paraId="47102B3B"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525746FB"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794AEF22"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4AC4F764"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0153A3E7"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00C38FF7"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6976AF4D"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093007A2" w14:textId="77777777" w:rsidR="00AE7934" w:rsidRDefault="00AE7934">
            <w:pPr>
              <w:jc w:val="center"/>
              <w:rPr>
                <w:rFonts w:cs="Arial"/>
                <w:b/>
                <w:bCs/>
                <w:szCs w:val="20"/>
              </w:rPr>
            </w:pPr>
            <w:r>
              <w:rPr>
                <w:rFonts w:cs="Arial"/>
                <w:b/>
                <w:bCs/>
                <w:color w:val="000000"/>
                <w:szCs w:val="20"/>
              </w:rPr>
              <w:t>přelidněný</w:t>
            </w:r>
          </w:p>
        </w:tc>
      </w:tr>
      <w:tr w:rsidR="00AE7934" w14:paraId="21478E80" w14:textId="77777777" w:rsidTr="00AE7934">
        <w:tc>
          <w:tcPr>
            <w:tcW w:w="0" w:type="auto"/>
            <w:tcMar>
              <w:top w:w="30" w:type="dxa"/>
              <w:left w:w="45" w:type="dxa"/>
              <w:bottom w:w="30" w:type="dxa"/>
              <w:right w:w="45" w:type="dxa"/>
            </w:tcMar>
            <w:vAlign w:val="center"/>
            <w:hideMark/>
          </w:tcPr>
          <w:p w14:paraId="5C33BA47" w14:textId="77777777" w:rsidR="00AE7934" w:rsidRDefault="00AE7934">
            <w:pPr>
              <w:jc w:val="center"/>
              <w:rPr>
                <w:rFonts w:cs="Arial"/>
                <w:szCs w:val="20"/>
              </w:rPr>
            </w:pPr>
            <w:r>
              <w:rPr>
                <w:rFonts w:cs="Arial"/>
                <w:szCs w:val="20"/>
              </w:rPr>
              <w:t>4</w:t>
            </w:r>
          </w:p>
        </w:tc>
        <w:tc>
          <w:tcPr>
            <w:tcW w:w="0" w:type="auto"/>
            <w:tcMar>
              <w:top w:w="30" w:type="dxa"/>
              <w:left w:w="45" w:type="dxa"/>
              <w:bottom w:w="30" w:type="dxa"/>
              <w:right w:w="45" w:type="dxa"/>
            </w:tcMar>
            <w:vAlign w:val="center"/>
            <w:hideMark/>
          </w:tcPr>
          <w:p w14:paraId="477E1BB2"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4BF956B4"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37800577"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455E8A69"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56F0B25D"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6AF779EA"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330D07EF" w14:textId="77777777" w:rsidR="00AE7934" w:rsidRDefault="00AE7934">
            <w:pPr>
              <w:jc w:val="center"/>
              <w:rPr>
                <w:rFonts w:cs="Arial"/>
                <w:b/>
                <w:bCs/>
                <w:szCs w:val="20"/>
              </w:rPr>
            </w:pPr>
            <w:r>
              <w:rPr>
                <w:rFonts w:cs="Arial"/>
                <w:b/>
                <w:bCs/>
                <w:color w:val="000000"/>
                <w:szCs w:val="20"/>
              </w:rPr>
              <w:t>přelidněný</w:t>
            </w:r>
          </w:p>
        </w:tc>
        <w:tc>
          <w:tcPr>
            <w:tcW w:w="0" w:type="auto"/>
            <w:shd w:val="clear" w:color="auto" w:fill="F0F0F0"/>
            <w:tcMar>
              <w:top w:w="30" w:type="dxa"/>
              <w:left w:w="45" w:type="dxa"/>
              <w:bottom w:w="30" w:type="dxa"/>
              <w:right w:w="45" w:type="dxa"/>
            </w:tcMar>
            <w:vAlign w:val="center"/>
            <w:hideMark/>
          </w:tcPr>
          <w:p w14:paraId="15F63478" w14:textId="77777777" w:rsidR="00AE7934" w:rsidRDefault="00AE7934">
            <w:pPr>
              <w:jc w:val="center"/>
              <w:rPr>
                <w:rFonts w:cs="Arial"/>
                <w:b/>
                <w:bCs/>
                <w:szCs w:val="20"/>
              </w:rPr>
            </w:pPr>
            <w:r>
              <w:rPr>
                <w:rFonts w:cs="Arial"/>
                <w:b/>
                <w:bCs/>
                <w:color w:val="000000"/>
                <w:szCs w:val="20"/>
              </w:rPr>
              <w:t>přelidněný</w:t>
            </w:r>
          </w:p>
        </w:tc>
      </w:tr>
      <w:tr w:rsidR="00AE7934" w14:paraId="3B52E7BC" w14:textId="77777777" w:rsidTr="00AE7934">
        <w:tc>
          <w:tcPr>
            <w:tcW w:w="0" w:type="auto"/>
            <w:tcMar>
              <w:top w:w="30" w:type="dxa"/>
              <w:left w:w="45" w:type="dxa"/>
              <w:bottom w:w="30" w:type="dxa"/>
              <w:right w:w="45" w:type="dxa"/>
            </w:tcMar>
            <w:vAlign w:val="center"/>
            <w:hideMark/>
          </w:tcPr>
          <w:p w14:paraId="51329319" w14:textId="77777777" w:rsidR="00AE7934" w:rsidRDefault="00AE7934">
            <w:pPr>
              <w:jc w:val="center"/>
              <w:rPr>
                <w:rFonts w:cs="Arial"/>
                <w:szCs w:val="20"/>
              </w:rPr>
            </w:pPr>
            <w:r>
              <w:rPr>
                <w:rFonts w:cs="Arial"/>
                <w:szCs w:val="20"/>
              </w:rPr>
              <w:t>5</w:t>
            </w:r>
          </w:p>
        </w:tc>
        <w:tc>
          <w:tcPr>
            <w:tcW w:w="0" w:type="auto"/>
            <w:tcMar>
              <w:top w:w="30" w:type="dxa"/>
              <w:left w:w="45" w:type="dxa"/>
              <w:bottom w:w="30" w:type="dxa"/>
              <w:right w:w="45" w:type="dxa"/>
            </w:tcMar>
            <w:vAlign w:val="center"/>
            <w:hideMark/>
          </w:tcPr>
          <w:p w14:paraId="1C4214AE"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2E200E96"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1EDC4CE3"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047E6361" w14:textId="77777777" w:rsidR="00AE7934" w:rsidRDefault="00AE7934">
            <w:pPr>
              <w:jc w:val="center"/>
              <w:rPr>
                <w:rFonts w:cs="Arial"/>
                <w:szCs w:val="20"/>
              </w:rPr>
            </w:pPr>
            <w:r>
              <w:rPr>
                <w:rFonts w:cs="Arial"/>
                <w:szCs w:val="20"/>
              </w:rPr>
              <w:t>nadstandard</w:t>
            </w:r>
          </w:p>
        </w:tc>
        <w:tc>
          <w:tcPr>
            <w:tcW w:w="0" w:type="auto"/>
            <w:tcMar>
              <w:top w:w="30" w:type="dxa"/>
              <w:left w:w="45" w:type="dxa"/>
              <w:bottom w:w="30" w:type="dxa"/>
              <w:right w:w="45" w:type="dxa"/>
            </w:tcMar>
            <w:vAlign w:val="center"/>
            <w:hideMark/>
          </w:tcPr>
          <w:p w14:paraId="7FB73B94"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33759793" w14:textId="77777777" w:rsidR="00AE7934" w:rsidRDefault="00AE7934">
            <w:pPr>
              <w:jc w:val="center"/>
              <w:rPr>
                <w:rFonts w:cs="Arial"/>
                <w:szCs w:val="20"/>
              </w:rPr>
            </w:pPr>
            <w:r>
              <w:rPr>
                <w:rFonts w:cs="Arial"/>
                <w:szCs w:val="20"/>
              </w:rPr>
              <w:t>standard</w:t>
            </w:r>
          </w:p>
        </w:tc>
        <w:tc>
          <w:tcPr>
            <w:tcW w:w="0" w:type="auto"/>
            <w:tcMar>
              <w:top w:w="30" w:type="dxa"/>
              <w:left w:w="45" w:type="dxa"/>
              <w:bottom w:w="30" w:type="dxa"/>
              <w:right w:w="45" w:type="dxa"/>
            </w:tcMar>
            <w:vAlign w:val="center"/>
            <w:hideMark/>
          </w:tcPr>
          <w:p w14:paraId="4144B127" w14:textId="77777777" w:rsidR="00AE7934" w:rsidRDefault="00AE7934">
            <w:pPr>
              <w:jc w:val="center"/>
              <w:rPr>
                <w:rFonts w:cs="Arial"/>
                <w:szCs w:val="20"/>
              </w:rPr>
            </w:pPr>
            <w:r>
              <w:rPr>
                <w:rFonts w:cs="Arial"/>
                <w:szCs w:val="20"/>
              </w:rPr>
              <w:t>minimální standard</w:t>
            </w:r>
          </w:p>
        </w:tc>
        <w:tc>
          <w:tcPr>
            <w:tcW w:w="0" w:type="auto"/>
            <w:shd w:val="clear" w:color="auto" w:fill="F0F0F0"/>
            <w:tcMar>
              <w:top w:w="30" w:type="dxa"/>
              <w:left w:w="45" w:type="dxa"/>
              <w:bottom w:w="30" w:type="dxa"/>
              <w:right w:w="45" w:type="dxa"/>
            </w:tcMar>
            <w:vAlign w:val="center"/>
            <w:hideMark/>
          </w:tcPr>
          <w:p w14:paraId="034CFB57" w14:textId="77777777" w:rsidR="00AE7934" w:rsidRDefault="00AE7934">
            <w:pPr>
              <w:jc w:val="center"/>
              <w:rPr>
                <w:rFonts w:cs="Arial"/>
                <w:b/>
                <w:bCs/>
                <w:szCs w:val="20"/>
              </w:rPr>
            </w:pPr>
            <w:r>
              <w:rPr>
                <w:rFonts w:cs="Arial"/>
                <w:b/>
                <w:bCs/>
                <w:color w:val="000000"/>
                <w:szCs w:val="20"/>
              </w:rPr>
              <w:t>přelidněný</w:t>
            </w:r>
          </w:p>
        </w:tc>
      </w:tr>
    </w:tbl>
    <w:p w14:paraId="7690FACD" w14:textId="77777777" w:rsidR="00AE7934" w:rsidRDefault="00AE7934" w:rsidP="00AE7934">
      <w:pPr>
        <w:shd w:val="clear" w:color="auto" w:fill="FFFFFF"/>
        <w:jc w:val="both"/>
        <w:rPr>
          <w:rFonts w:cs="Arial"/>
          <w:color w:val="000000"/>
          <w:szCs w:val="20"/>
        </w:rPr>
      </w:pPr>
      <w:r>
        <w:rPr>
          <w:rFonts w:cs="Arial"/>
          <w:color w:val="000000"/>
          <w:szCs w:val="20"/>
        </w:rPr>
        <w:t>Je-li předmětem posuzování byt</w:t>
      </w:r>
    </w:p>
    <w:p w14:paraId="32F283B5" w14:textId="77777777" w:rsidR="00AE7934" w:rsidRDefault="00AE7934" w:rsidP="00AE7934">
      <w:pPr>
        <w:shd w:val="clear" w:color="auto" w:fill="FFFFFF"/>
        <w:jc w:val="both"/>
        <w:rPr>
          <w:rFonts w:cs="Arial"/>
          <w:color w:val="000000"/>
          <w:szCs w:val="20"/>
        </w:rPr>
      </w:pPr>
      <w:r>
        <w:rPr>
          <w:rFonts w:cs="Arial"/>
          <w:b/>
          <w:bCs/>
          <w:color w:val="000000"/>
          <w:szCs w:val="20"/>
        </w:rPr>
        <w:t>a)</w:t>
      </w:r>
      <w:r>
        <w:rPr>
          <w:rFonts w:cs="Arial"/>
          <w:color w:val="000000"/>
          <w:szCs w:val="20"/>
        </w:rPr>
        <w:t> o podlahové ploše větší než 95,9 m</w:t>
      </w:r>
      <w:r>
        <w:rPr>
          <w:rFonts w:cs="Arial"/>
          <w:color w:val="000000"/>
          <w:szCs w:val="20"/>
          <w:vertAlign w:val="superscript"/>
        </w:rPr>
        <w:t>2</w:t>
      </w:r>
      <w:r>
        <w:rPr>
          <w:rFonts w:cs="Arial"/>
          <w:color w:val="000000"/>
          <w:szCs w:val="20"/>
        </w:rPr>
        <w:t>, je přiměřenost bytu s ohledem na velikost společně hospodařící domácnosti podle podlahové plochy bytu posuzována obdobně jako v tabulce 1 s ohledem na konkrétní situaci a počet členů společně hospodařící domácnosti, nebo</w:t>
      </w:r>
    </w:p>
    <w:p w14:paraId="1CB38CB3" w14:textId="77777777" w:rsidR="00AE7934" w:rsidRDefault="00AE7934" w:rsidP="00AE7934">
      <w:pPr>
        <w:shd w:val="clear" w:color="auto" w:fill="FFFFFF"/>
        <w:jc w:val="both"/>
        <w:rPr>
          <w:rFonts w:cs="Arial"/>
          <w:color w:val="000000"/>
          <w:szCs w:val="20"/>
        </w:rPr>
      </w:pPr>
      <w:r>
        <w:rPr>
          <w:rFonts w:cs="Arial"/>
          <w:b/>
          <w:bCs/>
          <w:color w:val="000000"/>
          <w:szCs w:val="20"/>
        </w:rPr>
        <w:t>b)</w:t>
      </w:r>
      <w:r>
        <w:rPr>
          <w:rFonts w:cs="Arial"/>
          <w:color w:val="000000"/>
          <w:szCs w:val="20"/>
        </w:rPr>
        <w:t> o větším počtu obytných místností než 5, je přiměřenost bytu podle počtu obytných místností posuzována obdobně jako v tabulce 2 s ohledem na konkrétní situaci a počet členů společně hospodařící domácnosti.</w:t>
      </w:r>
    </w:p>
    <w:p w14:paraId="2F296F9E" w14:textId="77777777" w:rsidR="00FB3638" w:rsidRDefault="00FB3638" w:rsidP="00955396">
      <w:pPr>
        <w:rPr>
          <w:b/>
        </w:rPr>
      </w:pPr>
    </w:p>
    <w:p w14:paraId="63ABC9E7" w14:textId="77777777" w:rsidR="00FB3638" w:rsidRDefault="00FB3638" w:rsidP="00955396">
      <w:pPr>
        <w:rPr>
          <w:b/>
        </w:rPr>
      </w:pPr>
    </w:p>
    <w:p w14:paraId="506D8406" w14:textId="77777777" w:rsidR="00FB3638" w:rsidRDefault="00FB3638" w:rsidP="00955396">
      <w:pPr>
        <w:rPr>
          <w:b/>
        </w:rPr>
      </w:pPr>
    </w:p>
    <w:p w14:paraId="146EC39B" w14:textId="77777777" w:rsidR="00AB744D" w:rsidRPr="006E61D4" w:rsidRDefault="006E61D4" w:rsidP="00955396">
      <w:pPr>
        <w:rPr>
          <w:b/>
        </w:rPr>
      </w:pPr>
      <w:r w:rsidRPr="006E61D4">
        <w:rPr>
          <w:b/>
        </w:rPr>
        <w:t>z vyhlášky 268/2009 Sb. o technických požadavcích na stavby</w:t>
      </w:r>
    </w:p>
    <w:p w14:paraId="7852DA96" w14:textId="77777777" w:rsidR="00BA343F" w:rsidRDefault="00BA343F" w:rsidP="006E61D4">
      <w:pPr>
        <w:pStyle w:val="l2"/>
        <w:shd w:val="clear" w:color="auto" w:fill="FFFFFF"/>
        <w:spacing w:before="0" w:beforeAutospacing="0" w:after="0" w:afterAutospacing="0"/>
        <w:jc w:val="both"/>
        <w:rPr>
          <w:rFonts w:ascii="Arial" w:hAnsi="Arial" w:cs="Arial"/>
          <w:b/>
          <w:bCs/>
          <w:color w:val="FF8400"/>
          <w:sz w:val="20"/>
          <w:szCs w:val="20"/>
        </w:rPr>
      </w:pPr>
    </w:p>
    <w:p w14:paraId="1D989F0F" w14:textId="77777777" w:rsidR="006E61D4" w:rsidRDefault="006E61D4" w:rsidP="006E61D4">
      <w:pPr>
        <w:pStyle w:val="l2"/>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3</w:t>
      </w:r>
    </w:p>
    <w:p w14:paraId="031AD1F4" w14:textId="77777777" w:rsidR="006E61D4" w:rsidRDefault="006E61D4" w:rsidP="006E61D4">
      <w:pPr>
        <w:pStyle w:val="Nadpis3"/>
        <w:shd w:val="clear" w:color="auto" w:fill="FFFFFF"/>
        <w:spacing w:before="0" w:line="330" w:lineRule="atLeast"/>
        <w:rPr>
          <w:rFonts w:ascii="Arial" w:hAnsi="Arial" w:cs="Arial"/>
          <w:b/>
          <w:bCs/>
          <w:color w:val="08A8F8"/>
          <w:sz w:val="22"/>
          <w:szCs w:val="22"/>
        </w:rPr>
      </w:pPr>
      <w:r>
        <w:rPr>
          <w:rFonts w:ascii="Arial" w:hAnsi="Arial" w:cs="Arial"/>
          <w:color w:val="08A8F8"/>
          <w:sz w:val="22"/>
          <w:szCs w:val="22"/>
        </w:rPr>
        <w:t>Základní pojmy</w:t>
      </w:r>
    </w:p>
    <w:p w14:paraId="36F52667" w14:textId="77777777" w:rsidR="006E61D4" w:rsidRDefault="006E61D4" w:rsidP="006E61D4">
      <w:pPr>
        <w:pStyle w:val="l3"/>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Pro účely této vyhlášky se rozumí</w:t>
      </w:r>
    </w:p>
    <w:p w14:paraId="75CF1010" w14:textId="77777777" w:rsidR="006E61D4" w:rsidRDefault="006E61D4" w:rsidP="006E61D4">
      <w:pPr>
        <w:pStyle w:val="l3"/>
        <w:shd w:val="clear" w:color="auto" w:fill="FFFFFF"/>
        <w:spacing w:before="0" w:beforeAutospacing="0" w:after="0" w:afterAutospacing="0"/>
        <w:jc w:val="both"/>
        <w:rPr>
          <w:rFonts w:ascii="Arial" w:hAnsi="Arial" w:cs="Arial"/>
          <w:color w:val="000000"/>
          <w:sz w:val="20"/>
          <w:szCs w:val="20"/>
        </w:rPr>
      </w:pPr>
    </w:p>
    <w:p w14:paraId="23A83412"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eastAsiaTheme="minorEastAsia" w:cs="Arial"/>
          <w:b/>
          <w:bCs/>
          <w:i w:val="0"/>
          <w:iCs w:val="0"/>
          <w:color w:val="000000"/>
          <w:sz w:val="20"/>
          <w:szCs w:val="20"/>
        </w:rPr>
        <w:t>d)</w:t>
      </w:r>
      <w:r>
        <w:rPr>
          <w:rFonts w:ascii="Arial" w:hAnsi="Arial" w:cs="Arial"/>
          <w:color w:val="000000"/>
          <w:sz w:val="20"/>
          <w:szCs w:val="20"/>
        </w:rPr>
        <w:t> ubytovací jednotkou</w:t>
      </w:r>
    </w:p>
    <w:p w14:paraId="06E24C91" w14:textId="77777777" w:rsidR="006E61D4" w:rsidRDefault="006E61D4" w:rsidP="006E61D4">
      <w:pPr>
        <w:pStyle w:val="l5"/>
        <w:shd w:val="clear" w:color="auto" w:fill="FFFFFF"/>
        <w:spacing w:before="0" w:beforeAutospacing="0" w:after="0" w:afterAutospacing="0"/>
        <w:ind w:left="709" w:hanging="1"/>
        <w:jc w:val="both"/>
        <w:rPr>
          <w:rFonts w:ascii="Arial" w:hAnsi="Arial" w:cs="Arial"/>
          <w:color w:val="000000"/>
          <w:sz w:val="20"/>
          <w:szCs w:val="20"/>
        </w:rPr>
      </w:pPr>
      <w:r>
        <w:rPr>
          <w:rStyle w:val="PromnnHTML"/>
          <w:rFonts w:eastAsiaTheme="minorEastAsia" w:cs="Arial"/>
          <w:b/>
          <w:bCs/>
          <w:i w:val="0"/>
          <w:iCs w:val="0"/>
          <w:color w:val="000000"/>
          <w:sz w:val="20"/>
          <w:szCs w:val="20"/>
        </w:rPr>
        <w:t>1.</w:t>
      </w:r>
      <w:r>
        <w:rPr>
          <w:rFonts w:ascii="Arial" w:hAnsi="Arial" w:cs="Arial"/>
          <w:color w:val="000000"/>
          <w:sz w:val="20"/>
          <w:szCs w:val="20"/>
        </w:rPr>
        <w:t> jednotlivý pokoj nebo soubor místností, které svým stavebně technickým uspořádáním a vybavením splňují požadavky na přechodné ubytování a jsou k tomuto účelu určeny,</w:t>
      </w:r>
    </w:p>
    <w:p w14:paraId="32A008BB" w14:textId="77777777" w:rsidR="006E61D4" w:rsidRDefault="006E61D4" w:rsidP="006E61D4">
      <w:pPr>
        <w:pStyle w:val="l5"/>
        <w:shd w:val="clear" w:color="auto" w:fill="FFFFFF"/>
        <w:spacing w:before="0" w:beforeAutospacing="0" w:after="0" w:afterAutospacing="0"/>
        <w:ind w:left="709" w:hanging="1"/>
        <w:jc w:val="both"/>
        <w:rPr>
          <w:rFonts w:ascii="Arial" w:hAnsi="Arial" w:cs="Arial"/>
          <w:color w:val="000000"/>
          <w:sz w:val="20"/>
          <w:szCs w:val="20"/>
        </w:rPr>
      </w:pPr>
      <w:r>
        <w:rPr>
          <w:rStyle w:val="PromnnHTML"/>
          <w:rFonts w:eastAsiaTheme="minorEastAsia" w:cs="Arial"/>
          <w:b/>
          <w:bCs/>
          <w:i w:val="0"/>
          <w:iCs w:val="0"/>
          <w:color w:val="000000"/>
          <w:sz w:val="20"/>
          <w:szCs w:val="20"/>
        </w:rPr>
        <w:t>2.</w:t>
      </w:r>
      <w:r>
        <w:rPr>
          <w:rFonts w:ascii="Arial" w:hAnsi="Arial" w:cs="Arial"/>
          <w:color w:val="000000"/>
          <w:sz w:val="20"/>
          <w:szCs w:val="20"/>
        </w:rPr>
        <w:t> ubytovací jednotka v zařízení sociálních služeb</w:t>
      </w:r>
      <w:hyperlink r:id="rId6" w:anchor="f4006103" w:history="1">
        <w:r>
          <w:rPr>
            <w:rStyle w:val="Hypertextovodkaz"/>
            <w:rFonts w:ascii="Arial" w:eastAsiaTheme="majorEastAsia" w:hAnsi="Arial" w:cs="Arial"/>
            <w:b/>
            <w:bCs/>
            <w:color w:val="15679C"/>
            <w:sz w:val="20"/>
            <w:szCs w:val="20"/>
            <w:vertAlign w:val="superscript"/>
          </w:rPr>
          <w:t>2</w:t>
        </w:r>
        <w:r>
          <w:rPr>
            <w:rStyle w:val="Hypertextovodkaz"/>
            <w:rFonts w:ascii="Arial" w:eastAsiaTheme="majorEastAsia" w:hAnsi="Arial" w:cs="Arial"/>
            <w:b/>
            <w:bCs/>
            <w:color w:val="15679C"/>
            <w:sz w:val="20"/>
            <w:szCs w:val="20"/>
          </w:rPr>
          <w:t>)</w:t>
        </w:r>
      </w:hyperlink>
      <w:r>
        <w:rPr>
          <w:rFonts w:ascii="Arial" w:hAnsi="Arial" w:cs="Arial"/>
          <w:color w:val="000000"/>
          <w:sz w:val="20"/>
          <w:szCs w:val="20"/>
        </w:rPr>
        <w:t>, určená k trvalému bydlení,</w:t>
      </w:r>
    </w:p>
    <w:p w14:paraId="407BAE4C" w14:textId="77777777" w:rsidR="006E61D4" w:rsidRDefault="006E61D4" w:rsidP="006E61D4">
      <w:pPr>
        <w:pStyle w:val="l5"/>
        <w:shd w:val="clear" w:color="auto" w:fill="FFFFFF"/>
        <w:spacing w:before="0" w:beforeAutospacing="0" w:after="0" w:afterAutospacing="0"/>
        <w:ind w:left="709" w:hanging="1"/>
        <w:jc w:val="both"/>
        <w:rPr>
          <w:rFonts w:ascii="Arial" w:hAnsi="Arial" w:cs="Arial"/>
          <w:color w:val="000000"/>
          <w:sz w:val="20"/>
          <w:szCs w:val="20"/>
        </w:rPr>
      </w:pPr>
    </w:p>
    <w:p w14:paraId="63DA7492"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eastAsiaTheme="minorEastAsia" w:cs="Arial"/>
          <w:b/>
          <w:bCs/>
          <w:i w:val="0"/>
          <w:iCs w:val="0"/>
          <w:color w:val="000000"/>
          <w:sz w:val="20"/>
          <w:szCs w:val="20"/>
        </w:rPr>
        <w:t>g)</w:t>
      </w:r>
      <w:r>
        <w:rPr>
          <w:rFonts w:ascii="Arial" w:hAnsi="Arial" w:cs="Arial"/>
          <w:color w:val="000000"/>
          <w:sz w:val="20"/>
          <w:szCs w:val="20"/>
        </w:rPr>
        <w:t> bytem soubor místností, popřípadě jedna obytná místnost, který svým stavebně technickým uspořádáním a vybavením splňuje požadavky na trvalé bydlení a je k tomuto účelu užívání určen,</w:t>
      </w:r>
    </w:p>
    <w:p w14:paraId="4EB6F282"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p>
    <w:p w14:paraId="5B824D86"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eastAsiaTheme="minorEastAsia" w:cs="Arial"/>
          <w:b/>
          <w:bCs/>
          <w:i w:val="0"/>
          <w:iCs w:val="0"/>
          <w:color w:val="000000"/>
          <w:sz w:val="20"/>
          <w:szCs w:val="20"/>
        </w:rPr>
        <w:t>i</w:t>
      </w:r>
      <w:r w:rsidRPr="00BA343F">
        <w:rPr>
          <w:rFonts w:ascii="Arial" w:hAnsi="Arial"/>
        </w:rPr>
        <w:t>)</w:t>
      </w:r>
      <w:r>
        <w:rPr>
          <w:rFonts w:ascii="Arial" w:hAnsi="Arial" w:cs="Arial"/>
          <w:color w:val="000000"/>
          <w:sz w:val="20"/>
          <w:szCs w:val="20"/>
        </w:rPr>
        <w:t> </w:t>
      </w:r>
      <w:r w:rsidRPr="00BA343F">
        <w:rPr>
          <w:rFonts w:ascii="Arial" w:hAnsi="Arial" w:cs="Arial"/>
          <w:color w:val="000000"/>
          <w:sz w:val="20"/>
          <w:szCs w:val="20"/>
        </w:rPr>
        <w:t>obytnou místností</w:t>
      </w:r>
      <w:r>
        <w:rPr>
          <w:rFonts w:ascii="Arial" w:hAnsi="Arial" w:cs="Arial"/>
          <w:color w:val="000000"/>
          <w:sz w:val="20"/>
          <w:szCs w:val="20"/>
        </w:rPr>
        <w:t xml:space="preserve"> část bytu, která splňuje požadavky předepsané touto vyhláškou, je určena k trvalému bydlení a má </w:t>
      </w:r>
      <w:r w:rsidRPr="00BA343F">
        <w:rPr>
          <w:rFonts w:ascii="Arial" w:hAnsi="Arial" w:cs="Arial"/>
          <w:color w:val="000000"/>
          <w:sz w:val="20"/>
          <w:szCs w:val="20"/>
        </w:rPr>
        <w:t>nejmenší podlahovou plochu 8 m2</w:t>
      </w:r>
      <w:r>
        <w:rPr>
          <w:rFonts w:ascii="Arial" w:hAnsi="Arial" w:cs="Arial"/>
          <w:color w:val="000000"/>
          <w:sz w:val="20"/>
          <w:szCs w:val="20"/>
        </w:rPr>
        <w:t>. Kuchyň, která má plochu nejméně 12 m</w:t>
      </w:r>
      <w:r w:rsidRPr="00BA343F">
        <w:rPr>
          <w:rFonts w:ascii="Arial" w:hAnsi="Arial" w:cs="Arial"/>
          <w:color w:val="000000"/>
          <w:sz w:val="20"/>
          <w:szCs w:val="20"/>
        </w:rPr>
        <w:t>2 </w:t>
      </w:r>
      <w:r>
        <w:rPr>
          <w:rFonts w:ascii="Arial" w:hAnsi="Arial" w:cs="Arial"/>
          <w:color w:val="000000"/>
          <w:sz w:val="20"/>
          <w:szCs w:val="20"/>
        </w:rPr>
        <w:t xml:space="preserve">a má zajištěno přímé denní osvětlení, přímé větrání a vytápění s možností regulace tepla, je obytnou místností. </w:t>
      </w:r>
      <w:r w:rsidRPr="00BA343F">
        <w:rPr>
          <w:rFonts w:ascii="Arial" w:hAnsi="Arial" w:cs="Arial"/>
          <w:color w:val="000000"/>
          <w:sz w:val="20"/>
          <w:szCs w:val="20"/>
        </w:rPr>
        <w:t>Pokud tvoří byt jedna obytná místnost, musí mít podlahovou plochu nejméně 16 m2</w:t>
      </w:r>
      <w:r>
        <w:rPr>
          <w:rFonts w:ascii="Arial" w:hAnsi="Arial" w:cs="Arial"/>
          <w:color w:val="000000"/>
          <w:sz w:val="20"/>
          <w:szCs w:val="20"/>
        </w:rPr>
        <w:t>; u místností se šikmými stropy se do plochy obytné místnosti nezapočítává plocha se světlou výškou menší než 1,2 m,</w:t>
      </w:r>
    </w:p>
    <w:p w14:paraId="30E507E4"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p>
    <w:p w14:paraId="5D6C731E" w14:textId="77777777" w:rsidR="006E61D4" w:rsidRDefault="006E61D4" w:rsidP="006E61D4">
      <w:pPr>
        <w:pStyle w:val="l3"/>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43</w:t>
      </w:r>
    </w:p>
    <w:p w14:paraId="24893611"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Stavba ubytovacího zařízení</w:t>
      </w:r>
      <w:hyperlink r:id="rId7" w:anchor="f4006126" w:history="1">
        <w:r>
          <w:rPr>
            <w:rStyle w:val="Hypertextovodkaz"/>
            <w:rFonts w:eastAsiaTheme="minorEastAsia" w:cs="Arial"/>
            <w:b/>
            <w:bCs/>
            <w:color w:val="15679C"/>
            <w:sz w:val="20"/>
            <w:szCs w:val="20"/>
            <w:vertAlign w:val="superscript"/>
          </w:rPr>
          <w:t>25</w:t>
        </w:r>
        <w:r>
          <w:rPr>
            <w:rStyle w:val="Hypertextovodkaz"/>
            <w:rFonts w:eastAsiaTheme="minorEastAsia" w:cs="Arial"/>
            <w:b/>
            <w:bCs/>
            <w:color w:val="15679C"/>
            <w:sz w:val="20"/>
            <w:szCs w:val="20"/>
          </w:rPr>
          <w:t>)</w:t>
        </w:r>
      </w:hyperlink>
      <w:r>
        <w:rPr>
          <w:rFonts w:ascii="Arial" w:hAnsi="Arial" w:cs="Arial"/>
          <w:color w:val="000000"/>
          <w:sz w:val="20"/>
          <w:szCs w:val="20"/>
        </w:rPr>
        <w:t xml:space="preserve"> se zařazuje podle požadavků na plochy a vybavení do tříd, které se označují hvězdičkami, stanovené normovými hodnotami. Hotely se člení do pěti tříd; hotel </w:t>
      </w:r>
      <w:proofErr w:type="spellStart"/>
      <w:r>
        <w:rPr>
          <w:rFonts w:ascii="Arial" w:hAnsi="Arial" w:cs="Arial"/>
          <w:color w:val="000000"/>
          <w:sz w:val="20"/>
          <w:szCs w:val="20"/>
        </w:rPr>
        <w:t>garni</w:t>
      </w:r>
      <w:proofErr w:type="spellEnd"/>
      <w:r>
        <w:rPr>
          <w:rFonts w:ascii="Arial" w:hAnsi="Arial" w:cs="Arial"/>
          <w:color w:val="000000"/>
          <w:sz w:val="20"/>
          <w:szCs w:val="20"/>
        </w:rPr>
        <w:t xml:space="preserve"> má vybavení jen pro omezený rozsah stravování, minimálně však snídaně a člení se do čtyř tříd. Motel a penzion se člení do čtyř tříd. Turistické ubytovny se zařazují do dvou tříd a kempy, skupiny chat a bungalovy se zařazují do čtyř tříd.</w:t>
      </w:r>
    </w:p>
    <w:p w14:paraId="3EEC00CB"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Prostory vstupní části stavby ubytovacího zařízení musí umožňovat plynulý příjem a odbavení hostů.</w:t>
      </w:r>
    </w:p>
    <w:p w14:paraId="7EE744AF"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Minimální šířka chodeb pro hosty je 1500 mm, nejmenší průchozí šířka schodiště pro hosty je 1100 mm. Nejmenší šířka chodby pro zaměstnance je 1200 mm, nejmenší průchozí šířka schodiště pro zaměstnance je 1100 mm. Komunikace zaměstnanců se nesmí křížit s komunikacemi hostů.</w:t>
      </w:r>
    </w:p>
    <w:p w14:paraId="0942DEB8"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(4)</w:t>
      </w:r>
      <w:r>
        <w:rPr>
          <w:rFonts w:ascii="Arial" w:hAnsi="Arial" w:cs="Arial"/>
          <w:color w:val="000000"/>
          <w:sz w:val="20"/>
          <w:szCs w:val="20"/>
        </w:rPr>
        <w:t> Světlá výška pokoje hosta musí být minimálně 2600 mm. V části pokoje se šikmým stropem se do jeho plochy započítává plocha, jejíž světlá výška je nejméně 1600 mm. Plocha pokoje pod šikmým stropem může zaujímat nejvýše 30 % celkové plochy pokoje.</w:t>
      </w:r>
    </w:p>
    <w:p w14:paraId="6566F71B"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(5)</w:t>
      </w:r>
      <w:r>
        <w:rPr>
          <w:rFonts w:ascii="Arial" w:hAnsi="Arial" w:cs="Arial"/>
          <w:color w:val="000000"/>
          <w:sz w:val="20"/>
          <w:szCs w:val="20"/>
        </w:rPr>
        <w:t> Předsíň pokoje hosta musí mít minimální průchozí šířku 900 mm, u pokojů určených k ubytování osob s omezenou schopností pohybu a orientace musí být průchozí šířka předsíně minimálně 1500 mm a délka minimálně 2200 mm; nemusí být od pokoje hosta oddělena dveřmi.</w:t>
      </w:r>
    </w:p>
    <w:p w14:paraId="3A22C4D7" w14:textId="77777777" w:rsidR="00BA343F" w:rsidRDefault="00BA343F" w:rsidP="006E61D4">
      <w:pPr>
        <w:pStyle w:val="l3"/>
        <w:shd w:val="clear" w:color="auto" w:fill="FFFFFF"/>
        <w:spacing w:before="0" w:beforeAutospacing="0" w:after="0" w:afterAutospacing="0"/>
        <w:jc w:val="both"/>
        <w:rPr>
          <w:rFonts w:ascii="Arial" w:hAnsi="Arial" w:cs="Arial"/>
          <w:b/>
          <w:bCs/>
          <w:color w:val="FF8400"/>
          <w:sz w:val="20"/>
          <w:szCs w:val="20"/>
        </w:rPr>
      </w:pPr>
    </w:p>
    <w:p w14:paraId="62E63383" w14:textId="77777777" w:rsidR="00BA343F" w:rsidRDefault="00BA343F" w:rsidP="006E61D4">
      <w:pPr>
        <w:pStyle w:val="l3"/>
        <w:shd w:val="clear" w:color="auto" w:fill="FFFFFF"/>
        <w:spacing w:before="0" w:beforeAutospacing="0" w:after="0" w:afterAutospacing="0"/>
        <w:jc w:val="both"/>
        <w:rPr>
          <w:rFonts w:ascii="Arial" w:hAnsi="Arial" w:cs="Arial"/>
          <w:b/>
          <w:bCs/>
          <w:color w:val="FF8400"/>
          <w:sz w:val="20"/>
          <w:szCs w:val="20"/>
        </w:rPr>
      </w:pPr>
    </w:p>
    <w:p w14:paraId="34530667" w14:textId="77777777" w:rsidR="00BA343F" w:rsidRDefault="00BA343F" w:rsidP="006E61D4">
      <w:pPr>
        <w:pStyle w:val="l3"/>
        <w:shd w:val="clear" w:color="auto" w:fill="FFFFFF"/>
        <w:spacing w:before="0" w:beforeAutospacing="0" w:after="0" w:afterAutospacing="0"/>
        <w:jc w:val="both"/>
        <w:rPr>
          <w:rFonts w:ascii="Arial" w:hAnsi="Arial" w:cs="Arial"/>
          <w:b/>
          <w:bCs/>
          <w:color w:val="FF8400"/>
          <w:sz w:val="20"/>
          <w:szCs w:val="20"/>
        </w:rPr>
      </w:pPr>
    </w:p>
    <w:p w14:paraId="702960C7" w14:textId="77777777" w:rsidR="00BA343F" w:rsidRDefault="00BA343F" w:rsidP="006E61D4">
      <w:pPr>
        <w:pStyle w:val="l3"/>
        <w:shd w:val="clear" w:color="auto" w:fill="FFFFFF"/>
        <w:spacing w:before="0" w:beforeAutospacing="0" w:after="0" w:afterAutospacing="0"/>
        <w:jc w:val="both"/>
        <w:rPr>
          <w:rFonts w:ascii="Arial" w:hAnsi="Arial" w:cs="Arial"/>
          <w:b/>
          <w:bCs/>
          <w:color w:val="FF8400"/>
          <w:sz w:val="20"/>
          <w:szCs w:val="20"/>
        </w:rPr>
      </w:pPr>
    </w:p>
    <w:p w14:paraId="7E729771" w14:textId="77777777" w:rsidR="00BA343F" w:rsidRDefault="00BA343F" w:rsidP="006E61D4">
      <w:pPr>
        <w:pStyle w:val="l3"/>
        <w:shd w:val="clear" w:color="auto" w:fill="FFFFFF"/>
        <w:spacing w:before="0" w:beforeAutospacing="0" w:after="0" w:afterAutospacing="0"/>
        <w:jc w:val="both"/>
        <w:rPr>
          <w:rFonts w:ascii="Arial" w:hAnsi="Arial" w:cs="Arial"/>
          <w:b/>
          <w:bCs/>
          <w:color w:val="FF8400"/>
          <w:sz w:val="20"/>
          <w:szCs w:val="20"/>
        </w:rPr>
      </w:pPr>
    </w:p>
    <w:p w14:paraId="0D28D2A6" w14:textId="77777777" w:rsidR="00BA343F" w:rsidRDefault="00BA343F" w:rsidP="006E61D4">
      <w:pPr>
        <w:pStyle w:val="l3"/>
        <w:shd w:val="clear" w:color="auto" w:fill="FFFFFF"/>
        <w:spacing w:before="0" w:beforeAutospacing="0" w:after="0" w:afterAutospacing="0"/>
        <w:jc w:val="both"/>
        <w:rPr>
          <w:rFonts w:ascii="Arial" w:hAnsi="Arial" w:cs="Arial"/>
          <w:b/>
          <w:bCs/>
          <w:color w:val="FF8400"/>
          <w:sz w:val="20"/>
          <w:szCs w:val="20"/>
        </w:rPr>
      </w:pPr>
    </w:p>
    <w:p w14:paraId="7225E2DF" w14:textId="77777777" w:rsidR="006E61D4" w:rsidRDefault="006E61D4" w:rsidP="006E61D4">
      <w:pPr>
        <w:pStyle w:val="l3"/>
        <w:shd w:val="clear" w:color="auto" w:fill="FFFFFF"/>
        <w:spacing w:before="0" w:beforeAutospacing="0" w:after="0" w:afterAutospacing="0"/>
        <w:jc w:val="both"/>
        <w:rPr>
          <w:rFonts w:ascii="Arial" w:hAnsi="Arial" w:cs="Arial"/>
          <w:b/>
          <w:bCs/>
          <w:color w:val="FF8400"/>
          <w:sz w:val="20"/>
          <w:szCs w:val="20"/>
        </w:rPr>
      </w:pPr>
      <w:r>
        <w:rPr>
          <w:rFonts w:ascii="Arial" w:hAnsi="Arial" w:cs="Arial"/>
          <w:b/>
          <w:bCs/>
          <w:color w:val="FF8400"/>
          <w:sz w:val="20"/>
          <w:szCs w:val="20"/>
        </w:rPr>
        <w:t>§ 44</w:t>
      </w:r>
    </w:p>
    <w:p w14:paraId="327D8A89"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w:t>
      </w:r>
      <w:r w:rsidRPr="00BA343F">
        <w:rPr>
          <w:rFonts w:ascii="Arial" w:hAnsi="Arial" w:cs="Arial"/>
          <w:color w:val="000000"/>
          <w:sz w:val="20"/>
          <w:szCs w:val="20"/>
        </w:rPr>
        <w:t>Nejmenší plocha pokoje v ubytovací jednotce v členění do tříd činí</w:t>
      </w:r>
    </w:p>
    <w:p w14:paraId="1538779F" w14:textId="77777777" w:rsidR="006E61D4" w:rsidRDefault="006E61D4" w:rsidP="00AE7934">
      <w:pPr>
        <w:pStyle w:val="l5"/>
        <w:shd w:val="clear" w:color="auto" w:fill="FFFFFF"/>
        <w:spacing w:before="0" w:beforeAutospacing="0" w:after="0" w:afterAutospacing="0"/>
        <w:ind w:left="567"/>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8 m</w:t>
      </w:r>
      <w:r>
        <w:rPr>
          <w:rFonts w:ascii="Arial" w:hAnsi="Arial" w:cs="Arial"/>
          <w:color w:val="000000"/>
          <w:sz w:val="20"/>
          <w:szCs w:val="20"/>
          <w:vertAlign w:val="superscript"/>
        </w:rPr>
        <w:t>2</w:t>
      </w:r>
      <w:r>
        <w:rPr>
          <w:rFonts w:ascii="Arial" w:hAnsi="Arial" w:cs="Arial"/>
          <w:color w:val="000000"/>
          <w:sz w:val="20"/>
          <w:szCs w:val="20"/>
        </w:rPr>
        <w:t> u jednolůžkového pokoje, 12,6 m</w:t>
      </w:r>
      <w:r>
        <w:rPr>
          <w:rFonts w:ascii="Arial" w:hAnsi="Arial" w:cs="Arial"/>
          <w:color w:val="000000"/>
          <w:sz w:val="20"/>
          <w:szCs w:val="20"/>
          <w:vertAlign w:val="superscript"/>
        </w:rPr>
        <w:t>2</w:t>
      </w:r>
      <w:r>
        <w:rPr>
          <w:rFonts w:ascii="Arial" w:hAnsi="Arial" w:cs="Arial"/>
          <w:color w:val="000000"/>
          <w:sz w:val="20"/>
          <w:szCs w:val="20"/>
        </w:rPr>
        <w:t> u dvoulůžkového pokoje pro třídu jedna a dvě hvězdičky,</w:t>
      </w:r>
    </w:p>
    <w:p w14:paraId="3251DE09" w14:textId="77777777" w:rsidR="006E61D4" w:rsidRDefault="006E61D4" w:rsidP="00AE7934">
      <w:pPr>
        <w:pStyle w:val="l5"/>
        <w:shd w:val="clear" w:color="auto" w:fill="FFFFFF"/>
        <w:spacing w:before="0" w:beforeAutospacing="0" w:after="0" w:afterAutospacing="0"/>
        <w:ind w:left="567"/>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9,5 m</w:t>
      </w:r>
      <w:r>
        <w:rPr>
          <w:rFonts w:ascii="Arial" w:hAnsi="Arial" w:cs="Arial"/>
          <w:color w:val="000000"/>
          <w:sz w:val="20"/>
          <w:szCs w:val="20"/>
          <w:vertAlign w:val="superscript"/>
        </w:rPr>
        <w:t>2</w:t>
      </w:r>
      <w:r>
        <w:rPr>
          <w:rFonts w:ascii="Arial" w:hAnsi="Arial" w:cs="Arial"/>
          <w:color w:val="000000"/>
          <w:sz w:val="20"/>
          <w:szCs w:val="20"/>
        </w:rPr>
        <w:t> u jednolůžkového pokoje, 13,3 m</w:t>
      </w:r>
      <w:r>
        <w:rPr>
          <w:rFonts w:ascii="Arial" w:hAnsi="Arial" w:cs="Arial"/>
          <w:color w:val="000000"/>
          <w:sz w:val="20"/>
          <w:szCs w:val="20"/>
          <w:vertAlign w:val="superscript"/>
        </w:rPr>
        <w:t>2</w:t>
      </w:r>
      <w:r>
        <w:rPr>
          <w:rFonts w:ascii="Arial" w:hAnsi="Arial" w:cs="Arial"/>
          <w:color w:val="000000"/>
          <w:sz w:val="20"/>
          <w:szCs w:val="20"/>
        </w:rPr>
        <w:t> u dvoulůžkového pokoje pro třídu tři hvězdičky,</w:t>
      </w:r>
    </w:p>
    <w:p w14:paraId="09BFDFDB" w14:textId="77777777" w:rsidR="006E61D4" w:rsidRDefault="006E61D4" w:rsidP="00AE7934">
      <w:pPr>
        <w:pStyle w:val="l5"/>
        <w:shd w:val="clear" w:color="auto" w:fill="FFFFFF"/>
        <w:spacing w:before="0" w:beforeAutospacing="0" w:after="0" w:afterAutospacing="0"/>
        <w:ind w:left="567"/>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11,4 m</w:t>
      </w:r>
      <w:r>
        <w:rPr>
          <w:rFonts w:ascii="Arial" w:hAnsi="Arial" w:cs="Arial"/>
          <w:color w:val="000000"/>
          <w:sz w:val="20"/>
          <w:szCs w:val="20"/>
          <w:vertAlign w:val="superscript"/>
        </w:rPr>
        <w:t>2</w:t>
      </w:r>
      <w:r>
        <w:rPr>
          <w:rFonts w:ascii="Arial" w:hAnsi="Arial" w:cs="Arial"/>
          <w:color w:val="000000"/>
          <w:sz w:val="20"/>
          <w:szCs w:val="20"/>
        </w:rPr>
        <w:t> u jednolůžkového pokoje, 13,3 m</w:t>
      </w:r>
      <w:r>
        <w:rPr>
          <w:rFonts w:ascii="Arial" w:hAnsi="Arial" w:cs="Arial"/>
          <w:color w:val="000000"/>
          <w:sz w:val="20"/>
          <w:szCs w:val="20"/>
          <w:vertAlign w:val="superscript"/>
        </w:rPr>
        <w:t>2</w:t>
      </w:r>
      <w:r>
        <w:rPr>
          <w:rFonts w:ascii="Arial" w:hAnsi="Arial" w:cs="Arial"/>
          <w:color w:val="000000"/>
          <w:sz w:val="20"/>
          <w:szCs w:val="20"/>
        </w:rPr>
        <w:t> u dvoulůžkového pokoje pro třídu čtyři hvězdičky,</w:t>
      </w:r>
    </w:p>
    <w:p w14:paraId="20FB8D35" w14:textId="77777777" w:rsidR="006E61D4" w:rsidRDefault="006E61D4" w:rsidP="00AE7934">
      <w:pPr>
        <w:pStyle w:val="l5"/>
        <w:shd w:val="clear" w:color="auto" w:fill="FFFFFF"/>
        <w:spacing w:before="0" w:beforeAutospacing="0" w:after="0" w:afterAutospacing="0"/>
        <w:ind w:left="567"/>
        <w:jc w:val="both"/>
        <w:rPr>
          <w:rFonts w:ascii="Arial" w:hAnsi="Arial" w:cs="Arial"/>
          <w:color w:val="000000"/>
          <w:sz w:val="20"/>
          <w:szCs w:val="20"/>
        </w:rPr>
      </w:pPr>
      <w:r>
        <w:rPr>
          <w:rStyle w:val="PromnnHTML"/>
          <w:rFonts w:ascii="Arial" w:hAnsi="Arial" w:cs="Arial"/>
          <w:b/>
          <w:bCs/>
          <w:i w:val="0"/>
          <w:iCs w:val="0"/>
          <w:color w:val="000000"/>
          <w:sz w:val="20"/>
          <w:szCs w:val="20"/>
        </w:rPr>
        <w:t>d)</w:t>
      </w:r>
      <w:r>
        <w:rPr>
          <w:rFonts w:ascii="Arial" w:hAnsi="Arial" w:cs="Arial"/>
          <w:color w:val="000000"/>
          <w:sz w:val="20"/>
          <w:szCs w:val="20"/>
        </w:rPr>
        <w:t> 12 m</w:t>
      </w:r>
      <w:r>
        <w:rPr>
          <w:rFonts w:ascii="Arial" w:hAnsi="Arial" w:cs="Arial"/>
          <w:color w:val="000000"/>
          <w:sz w:val="20"/>
          <w:szCs w:val="20"/>
          <w:vertAlign w:val="superscript"/>
        </w:rPr>
        <w:t>2</w:t>
      </w:r>
      <w:r>
        <w:rPr>
          <w:rFonts w:ascii="Arial" w:hAnsi="Arial" w:cs="Arial"/>
          <w:color w:val="000000"/>
          <w:sz w:val="20"/>
          <w:szCs w:val="20"/>
        </w:rPr>
        <w:t> u jednolůžkového pokoje, 16 m</w:t>
      </w:r>
      <w:r>
        <w:rPr>
          <w:rFonts w:ascii="Arial" w:hAnsi="Arial" w:cs="Arial"/>
          <w:color w:val="000000"/>
          <w:sz w:val="20"/>
          <w:szCs w:val="20"/>
          <w:vertAlign w:val="superscript"/>
        </w:rPr>
        <w:t>2</w:t>
      </w:r>
      <w:r>
        <w:rPr>
          <w:rFonts w:ascii="Arial" w:hAnsi="Arial" w:cs="Arial"/>
          <w:color w:val="000000"/>
          <w:sz w:val="20"/>
          <w:szCs w:val="20"/>
        </w:rPr>
        <w:t> u dvoulůžkového pokoje pro třídu pět hvězdiček.</w:t>
      </w:r>
    </w:p>
    <w:p w14:paraId="6D64EA04" w14:textId="77777777" w:rsidR="006E61D4" w:rsidRDefault="006E61D4" w:rsidP="006E61D4">
      <w:pPr>
        <w:pStyle w:val="l5"/>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Jestliže u ubytovací jednotky třídy jedna až tři hvězdičky má pokoj více než dvě lůžka, pro každé další lůžko se nejmenší podlahová plocha pokoje zvětšuje o 5 m</w:t>
      </w:r>
      <w:r>
        <w:rPr>
          <w:rFonts w:ascii="Arial" w:hAnsi="Arial" w:cs="Arial"/>
          <w:color w:val="000000"/>
          <w:sz w:val="20"/>
          <w:szCs w:val="20"/>
          <w:vertAlign w:val="superscript"/>
        </w:rPr>
        <w:t>2</w:t>
      </w:r>
      <w:r>
        <w:rPr>
          <w:rFonts w:ascii="Arial" w:hAnsi="Arial" w:cs="Arial"/>
          <w:color w:val="000000"/>
          <w:sz w:val="20"/>
          <w:szCs w:val="20"/>
        </w:rPr>
        <w:t>.</w:t>
      </w:r>
    </w:p>
    <w:p w14:paraId="53728B65" w14:textId="77777777" w:rsidR="006E61D4" w:rsidRPr="00BA343F"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w:t>
      </w:r>
      <w:r w:rsidRPr="00BA343F">
        <w:rPr>
          <w:rFonts w:ascii="Arial" w:hAnsi="Arial" w:cs="Arial"/>
          <w:color w:val="000000"/>
          <w:sz w:val="20"/>
          <w:szCs w:val="20"/>
        </w:rPr>
        <w:t>Hygienické zařízení ubytovací jednotky musí mít plochu nejméně 4 m</w:t>
      </w:r>
      <w:r w:rsidRPr="00BA343F">
        <w:rPr>
          <w:rFonts w:ascii="Arial" w:hAnsi="Arial" w:cs="Arial"/>
          <w:color w:val="000000"/>
          <w:sz w:val="20"/>
          <w:szCs w:val="20"/>
          <w:vertAlign w:val="superscript"/>
        </w:rPr>
        <w:t>2</w:t>
      </w:r>
      <w:r w:rsidRPr="00BA343F">
        <w:rPr>
          <w:rFonts w:ascii="Arial" w:hAnsi="Arial" w:cs="Arial"/>
          <w:color w:val="000000"/>
          <w:sz w:val="20"/>
          <w:szCs w:val="20"/>
        </w:rPr>
        <w:t>.</w:t>
      </w:r>
    </w:p>
    <w:p w14:paraId="6C5A89EA" w14:textId="77777777" w:rsidR="006E61D4" w:rsidRPr="00BA343F" w:rsidRDefault="006E61D4" w:rsidP="006E61D4">
      <w:pPr>
        <w:pStyle w:val="l4"/>
        <w:shd w:val="clear" w:color="auto" w:fill="FFFFFF"/>
        <w:spacing w:before="0" w:beforeAutospacing="0" w:after="0" w:afterAutospacing="0"/>
        <w:jc w:val="both"/>
        <w:rPr>
          <w:rFonts w:ascii="Arial" w:hAnsi="Arial" w:cs="Arial"/>
          <w:color w:val="000000"/>
          <w:sz w:val="20"/>
          <w:szCs w:val="20"/>
        </w:rPr>
      </w:pPr>
      <w:r w:rsidRPr="00BA343F">
        <w:rPr>
          <w:rStyle w:val="PromnnHTML"/>
          <w:rFonts w:ascii="Arial" w:hAnsi="Arial" w:cs="Arial"/>
          <w:b/>
          <w:bCs/>
          <w:i w:val="0"/>
          <w:iCs w:val="0"/>
          <w:color w:val="000000"/>
          <w:sz w:val="20"/>
          <w:szCs w:val="20"/>
        </w:rPr>
        <w:t>(3)</w:t>
      </w:r>
      <w:r w:rsidRPr="00BA343F">
        <w:rPr>
          <w:rFonts w:ascii="Arial" w:hAnsi="Arial" w:cs="Arial"/>
          <w:color w:val="000000"/>
          <w:sz w:val="20"/>
          <w:szCs w:val="20"/>
        </w:rPr>
        <w:t> Ubytovací jednotky v ubytovacích zařízeních do třídy tři až pět hvězdiček musí mít hygienické zařízení. U ostatních ubytovacích zařízení musí být v pokoji alespoň umyvadlo s tekoucí vodou. V těchto případech je nutno na každém podlaží, nejméně však na každých 10 pokojů, zřídit koupelnu s vanou nebo se sprchovým koutem a umyvadlem, a dále záchod uspořádaný odděleně pro muže a pro ženy, s předsíní a umyvadlem.</w:t>
      </w:r>
    </w:p>
    <w:p w14:paraId="6869C93F"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sidRPr="00BA343F">
        <w:rPr>
          <w:rStyle w:val="PromnnHTML"/>
          <w:rFonts w:ascii="Arial" w:hAnsi="Arial" w:cs="Arial"/>
          <w:b/>
          <w:bCs/>
          <w:i w:val="0"/>
          <w:iCs w:val="0"/>
          <w:color w:val="000000"/>
          <w:sz w:val="20"/>
          <w:szCs w:val="20"/>
        </w:rPr>
        <w:t>(4)</w:t>
      </w:r>
      <w:r w:rsidRPr="00BA343F">
        <w:rPr>
          <w:rFonts w:ascii="Arial" w:hAnsi="Arial" w:cs="Arial"/>
          <w:color w:val="000000"/>
          <w:sz w:val="20"/>
          <w:szCs w:val="20"/>
        </w:rPr>
        <w:t> Stavba ubytovacího zařízení s více než třemi nadzemními podlažími musí být vybavena výtahem.</w:t>
      </w:r>
    </w:p>
    <w:p w14:paraId="3D5A5DD0"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(5)</w:t>
      </w:r>
      <w:r>
        <w:rPr>
          <w:rFonts w:ascii="Arial" w:hAnsi="Arial" w:cs="Arial"/>
          <w:color w:val="000000"/>
          <w:sz w:val="20"/>
          <w:szCs w:val="20"/>
        </w:rPr>
        <w:t> V části ubytovacího zařízení, kde jsou poskytovány stravovací služby a kde je provozována společenská nebo kulturní činnost, musí být samostatná místnost se záchodovou mísou pro veřejnost odděleně pro muže a pro ženy obojí s předsíní a umyvadlem. Požaduje se</w:t>
      </w:r>
    </w:p>
    <w:p w14:paraId="4ECDCBEE" w14:textId="77777777" w:rsidR="006E61D4" w:rsidRDefault="006E61D4" w:rsidP="00AE7934">
      <w:pPr>
        <w:pStyle w:val="l5"/>
        <w:shd w:val="clear" w:color="auto" w:fill="FFFFFF"/>
        <w:spacing w:before="0" w:beforeAutospacing="0" w:after="0" w:afterAutospacing="0"/>
        <w:ind w:left="567"/>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pro ženy jedna záchodová mísa na 10 žen, pro každých dalších 20 žen jedna další záchodová mísa,</w:t>
      </w:r>
    </w:p>
    <w:p w14:paraId="48153B5B" w14:textId="77777777" w:rsidR="006E61D4" w:rsidRDefault="006E61D4" w:rsidP="00AE7934">
      <w:pPr>
        <w:pStyle w:val="l5"/>
        <w:shd w:val="clear" w:color="auto" w:fill="FFFFFF"/>
        <w:spacing w:before="0" w:beforeAutospacing="0" w:after="0" w:afterAutospacing="0"/>
        <w:ind w:left="567"/>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pro muže jedna záchodová mísa a jedno pisoárové stání nebo mušle na 10 mužů, pro každých dalších 40 mužů jedna další záchodová mísa a jedno pisoárové stání nebo mušle.</w:t>
      </w:r>
    </w:p>
    <w:p w14:paraId="7193005A" w14:textId="77777777" w:rsidR="006E61D4" w:rsidRDefault="006E61D4" w:rsidP="006E61D4">
      <w:pPr>
        <w:pStyle w:val="l4"/>
        <w:shd w:val="clear" w:color="auto" w:fill="FFFFFF"/>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(6)</w:t>
      </w:r>
      <w:r>
        <w:rPr>
          <w:rFonts w:ascii="Arial" w:hAnsi="Arial" w:cs="Arial"/>
          <w:color w:val="000000"/>
          <w:sz w:val="20"/>
          <w:szCs w:val="20"/>
        </w:rPr>
        <w:t> Podle ustanovení odstavce 5 se postupuje i u samostatných provozoven stravovacích služeb.</w:t>
      </w:r>
    </w:p>
    <w:sectPr w:rsidR="006E61D4" w:rsidSect="00FB3638">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EA98" w14:textId="77777777" w:rsidR="00747AD2" w:rsidRDefault="00747AD2" w:rsidP="00747AD2">
      <w:pPr>
        <w:spacing w:after="0" w:line="240" w:lineRule="auto"/>
      </w:pPr>
      <w:r>
        <w:separator/>
      </w:r>
    </w:p>
  </w:endnote>
  <w:endnote w:type="continuationSeparator" w:id="0">
    <w:p w14:paraId="1EE72C30" w14:textId="77777777" w:rsidR="00747AD2" w:rsidRDefault="00747AD2" w:rsidP="0074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1C48" w14:textId="77777777" w:rsidR="00462046" w:rsidRDefault="004620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D7C3" w14:textId="77777777" w:rsidR="00462046" w:rsidRDefault="0046204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48BD" w14:textId="77777777" w:rsidR="00462046" w:rsidRDefault="004620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64EC" w14:textId="77777777" w:rsidR="00747AD2" w:rsidRDefault="00747AD2" w:rsidP="00747AD2">
      <w:pPr>
        <w:spacing w:after="0" w:line="240" w:lineRule="auto"/>
      </w:pPr>
      <w:r>
        <w:separator/>
      </w:r>
    </w:p>
  </w:footnote>
  <w:footnote w:type="continuationSeparator" w:id="0">
    <w:p w14:paraId="114DEE52" w14:textId="77777777" w:rsidR="00747AD2" w:rsidRDefault="00747AD2" w:rsidP="0074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CEB1" w14:textId="77777777" w:rsidR="00462046" w:rsidRDefault="004620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A61AE" w14:textId="77777777" w:rsidR="00BA343F" w:rsidRPr="00EF109D" w:rsidRDefault="00BA343F" w:rsidP="00BA343F">
    <w:pPr>
      <w:spacing w:after="0" w:line="240" w:lineRule="auto"/>
      <w:jc w:val="both"/>
      <w:rPr>
        <w:rFonts w:cs="Arial"/>
        <w:bCs/>
      </w:rPr>
    </w:pPr>
    <w:r w:rsidRPr="00EF109D">
      <w:rPr>
        <w:rFonts w:cs="Arial"/>
        <w:bCs/>
      </w:rPr>
      <w:t xml:space="preserve">Příloha </w:t>
    </w:r>
    <w:r w:rsidR="00462046">
      <w:rPr>
        <w:rFonts w:cs="Arial"/>
        <w:bCs/>
      </w:rPr>
      <w:t>č. 1 zásad</w:t>
    </w:r>
    <w:r w:rsidRPr="00EF109D">
      <w:rPr>
        <w:rFonts w:cs="Arial"/>
        <w:bCs/>
      </w:rPr>
      <w:t xml:space="preserve"> programu 117 74 Ukrajina – rozšíření veřejných ubytovacích kapacit,</w:t>
    </w:r>
  </w:p>
  <w:p w14:paraId="6FD24612" w14:textId="77777777" w:rsidR="00BA343F" w:rsidRPr="00EF109D" w:rsidRDefault="00BA343F" w:rsidP="00BA343F">
    <w:pPr>
      <w:spacing w:after="0" w:line="240" w:lineRule="auto"/>
      <w:jc w:val="both"/>
      <w:rPr>
        <w:rFonts w:cs="Arial"/>
        <w:bCs/>
      </w:rPr>
    </w:pPr>
    <w:r w:rsidRPr="00EF109D">
      <w:rPr>
        <w:rFonts w:cs="Arial"/>
        <w:bCs/>
      </w:rPr>
      <w:t xml:space="preserve">podprogramu </w:t>
    </w:r>
    <w:r w:rsidRPr="00EF109D">
      <w:rPr>
        <w:rFonts w:cs="Arial"/>
        <w:bCs/>
        <w:spacing w:val="20"/>
      </w:rPr>
      <w:t>117D741U</w:t>
    </w:r>
    <w:r w:rsidRPr="00EF109D">
      <w:rPr>
        <w:rFonts w:cs="Arial"/>
        <w:bCs/>
      </w:rPr>
      <w:t xml:space="preserve">krajina – změny dokončených staveb, stavební úpravy budov </w:t>
    </w:r>
  </w:p>
  <w:p w14:paraId="70D71619" w14:textId="77777777" w:rsidR="00BA343F" w:rsidRPr="00376ACC" w:rsidRDefault="00BA343F" w:rsidP="00BA343F">
    <w:pPr>
      <w:spacing w:after="0" w:line="240" w:lineRule="auto"/>
      <w:jc w:val="both"/>
      <w:rPr>
        <w:rFonts w:cs="Arial"/>
        <w:bCs/>
      </w:rPr>
    </w:pPr>
    <w:r w:rsidRPr="00376ACC">
      <w:rPr>
        <w:rFonts w:cs="Arial"/>
        <w:bCs/>
      </w:rPr>
      <w:t>číslo výzvy: 1/2022/117D741</w:t>
    </w:r>
  </w:p>
  <w:p w14:paraId="0677BD23" w14:textId="77777777" w:rsidR="00747AD2" w:rsidRDefault="00747AD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96F8" w14:textId="77777777" w:rsidR="00462046" w:rsidRDefault="00462046">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D4"/>
    <w:rsid w:val="00434C0F"/>
    <w:rsid w:val="00462046"/>
    <w:rsid w:val="006E61D4"/>
    <w:rsid w:val="00747AD2"/>
    <w:rsid w:val="00955396"/>
    <w:rsid w:val="00AA29F6"/>
    <w:rsid w:val="00AB744D"/>
    <w:rsid w:val="00AE7934"/>
    <w:rsid w:val="00B764EE"/>
    <w:rsid w:val="00BA343F"/>
    <w:rsid w:val="00FB3638"/>
    <w:rsid w:val="00FD55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E6AF8"/>
  <w15:chartTrackingRefBased/>
  <w15:docId w15:val="{E1DCFAF5-AD52-4559-BD48-D752509E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5396"/>
    <w:rPr>
      <w:rFonts w:ascii="Arial" w:hAnsi="Arial"/>
      <w:sz w:val="20"/>
    </w:rPr>
  </w:style>
  <w:style w:type="paragraph" w:styleId="Nadpis1">
    <w:name w:val="heading 1"/>
    <w:basedOn w:val="Normln"/>
    <w:next w:val="Normln"/>
    <w:link w:val="Nadpis1Char"/>
    <w:uiPriority w:val="9"/>
    <w:qFormat/>
    <w:rsid w:val="00955396"/>
    <w:pPr>
      <w:keepNext/>
      <w:keepLines/>
      <w:spacing w:before="240" w:after="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955396"/>
    <w:pPr>
      <w:keepNext/>
      <w:keepLines/>
      <w:spacing w:before="40" w:after="0"/>
      <w:outlineLvl w:val="1"/>
    </w:pPr>
    <w:rPr>
      <w:rFonts w:eastAsiaTheme="majorEastAsia"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6E61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55396"/>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955396"/>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955396"/>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955396"/>
    <w:rPr>
      <w:rFonts w:ascii="Arial" w:eastAsiaTheme="majorEastAsia" w:hAnsi="Arial" w:cstheme="majorBidi"/>
      <w:spacing w:val="-10"/>
      <w:kern w:val="28"/>
      <w:sz w:val="56"/>
      <w:szCs w:val="56"/>
    </w:rPr>
  </w:style>
  <w:style w:type="paragraph" w:styleId="Podnadpis">
    <w:name w:val="Subtitle"/>
    <w:basedOn w:val="Normln"/>
    <w:next w:val="Normln"/>
    <w:link w:val="PodnadpisChar"/>
    <w:uiPriority w:val="11"/>
    <w:qFormat/>
    <w:rsid w:val="00955396"/>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955396"/>
    <w:rPr>
      <w:rFonts w:ascii="Arial" w:eastAsiaTheme="minorEastAsia" w:hAnsi="Arial"/>
      <w:color w:val="5A5A5A" w:themeColor="text1" w:themeTint="A5"/>
      <w:spacing w:val="15"/>
    </w:rPr>
  </w:style>
  <w:style w:type="paragraph" w:styleId="Bezmezer">
    <w:name w:val="No Spacing"/>
    <w:uiPriority w:val="1"/>
    <w:qFormat/>
    <w:rsid w:val="00955396"/>
    <w:pPr>
      <w:spacing w:after="0" w:line="240" w:lineRule="auto"/>
    </w:pPr>
    <w:rPr>
      <w:rFonts w:ascii="Arial" w:hAnsi="Arial"/>
      <w:sz w:val="20"/>
    </w:rPr>
  </w:style>
  <w:style w:type="character" w:customStyle="1" w:styleId="Nadpis3Char">
    <w:name w:val="Nadpis 3 Char"/>
    <w:basedOn w:val="Standardnpsmoodstavce"/>
    <w:link w:val="Nadpis3"/>
    <w:uiPriority w:val="9"/>
    <w:semiHidden/>
    <w:rsid w:val="006E61D4"/>
    <w:rPr>
      <w:rFonts w:asciiTheme="majorHAnsi" w:eastAsiaTheme="majorEastAsia" w:hAnsiTheme="majorHAnsi" w:cstheme="majorBidi"/>
      <w:color w:val="1F4D78" w:themeColor="accent1" w:themeShade="7F"/>
      <w:sz w:val="24"/>
      <w:szCs w:val="24"/>
    </w:rPr>
  </w:style>
  <w:style w:type="paragraph" w:customStyle="1" w:styleId="l2">
    <w:name w:val="l2"/>
    <w:basedOn w:val="Normln"/>
    <w:rsid w:val="006E61D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6E61D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6E61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E61D4"/>
    <w:rPr>
      <w:i/>
      <w:iCs/>
    </w:rPr>
  </w:style>
  <w:style w:type="paragraph" w:customStyle="1" w:styleId="l5">
    <w:name w:val="l5"/>
    <w:basedOn w:val="Normln"/>
    <w:rsid w:val="006E61D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6E61D4"/>
    <w:rPr>
      <w:color w:val="0000FF"/>
      <w:u w:val="single"/>
    </w:rPr>
  </w:style>
  <w:style w:type="paragraph" w:styleId="Zhlav">
    <w:name w:val="header"/>
    <w:basedOn w:val="Normln"/>
    <w:link w:val="ZhlavChar"/>
    <w:uiPriority w:val="99"/>
    <w:unhideWhenUsed/>
    <w:rsid w:val="00747A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7AD2"/>
    <w:rPr>
      <w:rFonts w:ascii="Arial" w:hAnsi="Arial"/>
      <w:sz w:val="20"/>
    </w:rPr>
  </w:style>
  <w:style w:type="paragraph" w:styleId="Zpat">
    <w:name w:val="footer"/>
    <w:basedOn w:val="Normln"/>
    <w:link w:val="ZpatChar"/>
    <w:uiPriority w:val="99"/>
    <w:unhideWhenUsed/>
    <w:rsid w:val="00747AD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7AD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6206">
      <w:bodyDiv w:val="1"/>
      <w:marLeft w:val="0"/>
      <w:marRight w:val="0"/>
      <w:marTop w:val="0"/>
      <w:marBottom w:val="0"/>
      <w:divBdr>
        <w:top w:val="none" w:sz="0" w:space="0" w:color="auto"/>
        <w:left w:val="none" w:sz="0" w:space="0" w:color="auto"/>
        <w:bottom w:val="none" w:sz="0" w:space="0" w:color="auto"/>
        <w:right w:val="none" w:sz="0" w:space="0" w:color="auto"/>
      </w:divBdr>
    </w:div>
    <w:div w:id="727727184">
      <w:bodyDiv w:val="1"/>
      <w:marLeft w:val="0"/>
      <w:marRight w:val="0"/>
      <w:marTop w:val="0"/>
      <w:marBottom w:val="0"/>
      <w:divBdr>
        <w:top w:val="none" w:sz="0" w:space="0" w:color="auto"/>
        <w:left w:val="none" w:sz="0" w:space="0" w:color="auto"/>
        <w:bottom w:val="none" w:sz="0" w:space="0" w:color="auto"/>
        <w:right w:val="none" w:sz="0" w:space="0" w:color="auto"/>
      </w:divBdr>
    </w:div>
    <w:div w:id="766459302">
      <w:bodyDiv w:val="1"/>
      <w:marLeft w:val="0"/>
      <w:marRight w:val="0"/>
      <w:marTop w:val="0"/>
      <w:marBottom w:val="0"/>
      <w:divBdr>
        <w:top w:val="none" w:sz="0" w:space="0" w:color="auto"/>
        <w:left w:val="none" w:sz="0" w:space="0" w:color="auto"/>
        <w:bottom w:val="none" w:sz="0" w:space="0" w:color="auto"/>
        <w:right w:val="none" w:sz="0" w:space="0" w:color="auto"/>
      </w:divBdr>
    </w:div>
    <w:div w:id="1257325809">
      <w:bodyDiv w:val="1"/>
      <w:marLeft w:val="0"/>
      <w:marRight w:val="0"/>
      <w:marTop w:val="0"/>
      <w:marBottom w:val="0"/>
      <w:divBdr>
        <w:top w:val="none" w:sz="0" w:space="0" w:color="auto"/>
        <w:left w:val="none" w:sz="0" w:space="0" w:color="auto"/>
        <w:bottom w:val="none" w:sz="0" w:space="0" w:color="auto"/>
        <w:right w:val="none" w:sz="0" w:space="0" w:color="auto"/>
      </w:divBdr>
    </w:div>
    <w:div w:id="18561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zakonyprolidi.cz/cs/2009-268/zneni-20211112"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yprolidi.cz/cs/2009-268/zneni-2021111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5734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Lenka</dc:creator>
  <cp:keywords/>
  <dc:description/>
  <cp:lastModifiedBy>Mottlová Ivona</cp:lastModifiedBy>
  <cp:revision>2</cp:revision>
  <dcterms:created xsi:type="dcterms:W3CDTF">2022-04-18T06:35:00Z</dcterms:created>
  <dcterms:modified xsi:type="dcterms:W3CDTF">2022-04-18T06:35:00Z</dcterms:modified>
</cp:coreProperties>
</file>