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E4DAD" w14:textId="77777777" w:rsidR="001B6689" w:rsidRPr="001B6689" w:rsidRDefault="001B6689" w:rsidP="00627DCD">
      <w:pPr>
        <w:spacing w:line="360" w:lineRule="auto"/>
        <w:jc w:val="both"/>
        <w:rPr>
          <w:b/>
          <w:sz w:val="28"/>
          <w:szCs w:val="28"/>
        </w:rPr>
      </w:pPr>
      <w:r w:rsidRPr="001B6689">
        <w:rPr>
          <w:b/>
          <w:sz w:val="28"/>
          <w:szCs w:val="28"/>
        </w:rPr>
        <w:t>Informace ke změnám smluv s ohledem na situaci na Ukrajině</w:t>
      </w:r>
    </w:p>
    <w:p w14:paraId="7066B5A5" w14:textId="77777777" w:rsidR="00B238A1" w:rsidRDefault="00FC69F7" w:rsidP="00627DCD">
      <w:pPr>
        <w:spacing w:line="360" w:lineRule="auto"/>
        <w:jc w:val="both"/>
      </w:pPr>
      <w:r>
        <w:t xml:space="preserve">V souvislosti se vzrůstajícími cenami ve veřejných zakázkách a aktuální situací na Ukrajině je MMR dotazováno na možné prodlužování smluv a změny cen ve veřejných zakázkách podle § 222 odst. 6 zákona č. 134/2016 Sb. o zadávání veřejných zakázek. </w:t>
      </w:r>
    </w:p>
    <w:p w14:paraId="2F5365F1" w14:textId="77777777" w:rsidR="00FC69F7" w:rsidRDefault="00FC69F7" w:rsidP="00627DCD">
      <w:pPr>
        <w:spacing w:line="360" w:lineRule="auto"/>
        <w:jc w:val="both"/>
      </w:pPr>
      <w:r>
        <w:t xml:space="preserve">V souvislosti se situací na Ukrajině a se zavedením sankčních mechanismů se může řada zadavatelů a dodavatelů dostávat do různých </w:t>
      </w:r>
      <w:r w:rsidR="00627DCD">
        <w:t xml:space="preserve">složitých </w:t>
      </w:r>
      <w:r>
        <w:t xml:space="preserve">situací, kdy je realizace veřejné zakázky ztížena (např. </w:t>
      </w:r>
      <w:r w:rsidR="009656F5">
        <w:t xml:space="preserve">zdržení dodávek </w:t>
      </w:r>
      <w:r>
        <w:t>různých komodit</w:t>
      </w:r>
      <w:r w:rsidR="009656F5">
        <w:t xml:space="preserve"> či jejich reálná aktuální nemožnost dodání</w:t>
      </w:r>
      <w:r>
        <w:t xml:space="preserve">, prodlužování harmonogramů, přerušení běžných dodavatelských řetězců, vzrůstající ceny). </w:t>
      </w:r>
    </w:p>
    <w:p w14:paraId="2D7A90B7" w14:textId="77777777" w:rsidR="000E0685" w:rsidRDefault="000E0685" w:rsidP="00627DCD">
      <w:pPr>
        <w:spacing w:line="360" w:lineRule="auto"/>
        <w:jc w:val="both"/>
      </w:pPr>
      <w:r>
        <w:t xml:space="preserve">Řada dotazů </w:t>
      </w:r>
      <w:r w:rsidR="00627DCD">
        <w:t xml:space="preserve">tak </w:t>
      </w:r>
      <w:r>
        <w:t xml:space="preserve">směřuje k možnému využití § 222 odst. 6 pro změny smluv. </w:t>
      </w:r>
    </w:p>
    <w:p w14:paraId="520E7EDE" w14:textId="77777777" w:rsidR="00FC69F7" w:rsidRDefault="00612128" w:rsidP="00612128">
      <w:pPr>
        <w:spacing w:line="360" w:lineRule="auto"/>
        <w:jc w:val="both"/>
      </w:pPr>
      <w:r>
        <w:t>MMR uveřejnilo řadu doporučení a stanovisek ke vzrůstajícím cenám ve veřejných zakázkách již v průběhu minulého roku 2021 a také uveřejnilo informaci k aktuální situaci odchodu ukrajinských pracovníků z realizace veřejných zakázek</w:t>
      </w:r>
      <w:r w:rsidR="00A233C1">
        <w:t xml:space="preserve"> na adrese </w:t>
      </w:r>
      <w:hyperlink r:id="rId4" w:history="1">
        <w:r w:rsidR="00A233C1" w:rsidRPr="003905E6">
          <w:rPr>
            <w:rStyle w:val="Hypertextovodkaz"/>
          </w:rPr>
          <w:t>https://portal-vz.cz/metodiky-stanoviska/metodiky-k-zakonu-c-134-2016-sb-o-zadavani-verejnych-zakazek/metodicka-stanoviska/</w:t>
        </w:r>
      </w:hyperlink>
      <w:r w:rsidR="00A233C1">
        <w:t xml:space="preserve"> </w:t>
      </w:r>
      <w:r>
        <w:t xml:space="preserve">. Postupy uvedené </w:t>
      </w:r>
      <w:r w:rsidR="00A233C1">
        <w:t xml:space="preserve">v těchto doporučeních a stanoviscích </w:t>
      </w:r>
      <w:r>
        <w:t xml:space="preserve">vycházejí z aktuální situace na hospodářském </w:t>
      </w:r>
      <w:r w:rsidR="00A233C1">
        <w:t xml:space="preserve">trhu, </w:t>
      </w:r>
      <w:r>
        <w:t xml:space="preserve">odpovídají stávající </w:t>
      </w:r>
      <w:r w:rsidR="009656F5">
        <w:t xml:space="preserve">právní úpravě a lze je </w:t>
      </w:r>
      <w:r w:rsidR="00A233C1">
        <w:t xml:space="preserve">běžně </w:t>
      </w:r>
      <w:r w:rsidR="009656F5">
        <w:t xml:space="preserve">aplikovat. </w:t>
      </w:r>
    </w:p>
    <w:p w14:paraId="1125E1F1" w14:textId="77777777" w:rsidR="00627DCD" w:rsidRPr="00627DCD" w:rsidRDefault="000E0685" w:rsidP="00627DCD">
      <w:pPr>
        <w:spacing w:line="360" w:lineRule="auto"/>
        <w:jc w:val="both"/>
        <w:rPr>
          <w:b/>
        </w:rPr>
      </w:pPr>
      <w:r>
        <w:t>Ustanovení § 222 odst. 6 má obecnou povahu a jeho použití je možné v jakékoliv situaci, která odpovídá podmínkám v něm uvedeným</w:t>
      </w:r>
      <w:r w:rsidR="00F35E7B">
        <w:t xml:space="preserve"> (včetně složité situace na Ukrajině)</w:t>
      </w:r>
      <w:r>
        <w:t xml:space="preserve">. Zadavatel tedy při každé změně </w:t>
      </w:r>
      <w:r w:rsidR="00F35E7B">
        <w:t xml:space="preserve">závazku </w:t>
      </w:r>
      <w:r>
        <w:t xml:space="preserve">zkoumá, zda změna (včetně </w:t>
      </w:r>
      <w:r w:rsidR="001C7A1C">
        <w:t xml:space="preserve">možností </w:t>
      </w:r>
      <w:r>
        <w:t xml:space="preserve">dalších změn podle </w:t>
      </w:r>
      <w:r w:rsidR="001C7A1C">
        <w:t xml:space="preserve">jednotlivých ustanovení </w:t>
      </w:r>
      <w:r>
        <w:t>§ 222) odpovídá podmínkám v § 222</w:t>
      </w:r>
      <w:r w:rsidR="001C7A1C">
        <w:t xml:space="preserve"> odst.</w:t>
      </w:r>
      <w:r w:rsidR="00574761">
        <w:t xml:space="preserve"> </w:t>
      </w:r>
      <w:r w:rsidR="001C7A1C">
        <w:t>6</w:t>
      </w:r>
      <w:r w:rsidR="00F35E7B">
        <w:t xml:space="preserve">. </w:t>
      </w:r>
      <w:r w:rsidRPr="00627DCD">
        <w:rPr>
          <w:b/>
        </w:rPr>
        <w:t xml:space="preserve">Není ale možné </w:t>
      </w:r>
      <w:r w:rsidR="00627DCD" w:rsidRPr="00627DCD">
        <w:rPr>
          <w:b/>
        </w:rPr>
        <w:t>použít obrácený postup – tedy bez jakéhokoliv zkoumání změny říci, že povaha a okolnosti změny</w:t>
      </w:r>
      <w:r w:rsidR="00627DCD">
        <w:rPr>
          <w:b/>
        </w:rPr>
        <w:t xml:space="preserve"> (tedy nějaká konkrétní složitá situace</w:t>
      </w:r>
      <w:r w:rsidR="00F35E7B">
        <w:rPr>
          <w:b/>
        </w:rPr>
        <w:t>, včetně situace na Ukrajině</w:t>
      </w:r>
      <w:r w:rsidR="00627DCD">
        <w:rPr>
          <w:b/>
        </w:rPr>
        <w:t>)</w:t>
      </w:r>
      <w:r w:rsidR="00627DCD" w:rsidRPr="00627DCD">
        <w:rPr>
          <w:b/>
        </w:rPr>
        <w:t xml:space="preserve"> vždy </w:t>
      </w:r>
      <w:r w:rsidR="00D04A6E">
        <w:rPr>
          <w:b/>
        </w:rPr>
        <w:t xml:space="preserve">automaticky </w:t>
      </w:r>
      <w:r w:rsidR="00627DCD" w:rsidRPr="00627DCD">
        <w:rPr>
          <w:b/>
        </w:rPr>
        <w:t xml:space="preserve">odpovídají podmínkám pro změnu </w:t>
      </w:r>
      <w:r w:rsidR="00F35E7B">
        <w:rPr>
          <w:b/>
        </w:rPr>
        <w:t xml:space="preserve">závazku </w:t>
      </w:r>
      <w:r w:rsidR="00627DCD" w:rsidRPr="00627DCD">
        <w:rPr>
          <w:b/>
        </w:rPr>
        <w:t xml:space="preserve">podle § 222 odst. 6. </w:t>
      </w:r>
    </w:p>
    <w:p w14:paraId="7559A57A" w14:textId="77777777" w:rsidR="00627DCD" w:rsidRPr="000E0685" w:rsidRDefault="00627DCD" w:rsidP="00627DCD">
      <w:pPr>
        <w:spacing w:line="360" w:lineRule="auto"/>
        <w:jc w:val="both"/>
      </w:pPr>
      <w:r>
        <w:t xml:space="preserve">Podle </w:t>
      </w:r>
      <w:r>
        <w:rPr>
          <w:rFonts w:cstheme="minorHAnsi"/>
        </w:rPr>
        <w:t xml:space="preserve">§ 222 odst. 6, písm. a) </w:t>
      </w:r>
      <w:r>
        <w:t xml:space="preserve">zákona 134/2016 Sb. o zadávání </w:t>
      </w:r>
      <w:r>
        <w:rPr>
          <w:rFonts w:cstheme="minorHAnsi"/>
        </w:rPr>
        <w:t xml:space="preserve">veřejných zakázek </w:t>
      </w:r>
      <w:r>
        <w:t xml:space="preserve">může zadavatel, pokud dojde k nepředvídané situaci bez zavinění zadavatele, jednat s dodavatelem o změně smlouvy. </w:t>
      </w:r>
    </w:p>
    <w:p w14:paraId="0B2E2BBD" w14:textId="77777777" w:rsidR="00627DCD" w:rsidRDefault="00627DCD" w:rsidP="00627DCD">
      <w:pPr>
        <w:pStyle w:val="l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Za podstatnou změnu závazku ze smlouvy na veřejnou zakázku se podle zákona nepovažuje změna,</w:t>
      </w:r>
    </w:p>
    <w:p w14:paraId="0550B33A" w14:textId="77777777" w:rsidR="00627DCD" w:rsidRDefault="00627DCD" w:rsidP="00627DCD">
      <w:pPr>
        <w:pStyle w:val="l4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Style w:val="PromnnHTML"/>
          <w:rFonts w:asciiTheme="minorHAnsi" w:hAnsiTheme="minorHAnsi" w:cstheme="minorHAnsi"/>
          <w:b/>
          <w:bCs/>
          <w:color w:val="000000"/>
          <w:sz w:val="22"/>
        </w:rPr>
        <w:t>a)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jejíž potřeba vznikla v důsledku okolností, které zadavatel jednající s náležitou péčí nemohl předvídat,</w:t>
      </w:r>
    </w:p>
    <w:p w14:paraId="03F86914" w14:textId="77777777" w:rsidR="00627DCD" w:rsidRDefault="00627DCD" w:rsidP="00627DCD">
      <w:pPr>
        <w:pStyle w:val="l4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PromnnHTML"/>
          <w:rFonts w:asciiTheme="minorHAnsi" w:hAnsiTheme="minorHAnsi" w:cstheme="minorHAnsi"/>
          <w:color w:val="000000"/>
          <w:sz w:val="22"/>
        </w:rPr>
        <w:t>b)</w:t>
      </w:r>
      <w:r>
        <w:rPr>
          <w:rFonts w:asciiTheme="minorHAnsi" w:hAnsiTheme="minorHAnsi" w:cstheme="minorHAnsi"/>
          <w:color w:val="000000"/>
          <w:sz w:val="22"/>
          <w:szCs w:val="22"/>
        </w:rPr>
        <w:t> nemění celkovou povahu veřejné zakázky a</w:t>
      </w:r>
    </w:p>
    <w:p w14:paraId="6BE3CFCC" w14:textId="77777777" w:rsidR="00627DCD" w:rsidRDefault="00627DCD" w:rsidP="00627DCD">
      <w:pPr>
        <w:pStyle w:val="l4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PromnnHTML"/>
          <w:rFonts w:asciiTheme="minorHAnsi" w:hAnsiTheme="minorHAnsi" w:cstheme="minorHAnsi"/>
          <w:color w:val="000000"/>
          <w:sz w:val="22"/>
        </w:rPr>
        <w:t>c)</w:t>
      </w:r>
      <w:r>
        <w:rPr>
          <w:rFonts w:asciiTheme="minorHAnsi" w:hAnsiTheme="minorHAnsi" w:cstheme="minorHAnsi"/>
          <w:color w:val="000000"/>
          <w:sz w:val="22"/>
          <w:szCs w:val="22"/>
        </w:rPr>
        <w:t> hodnota změny nepřekročí 50 % původní hodnoty závazku; pokud bude provedeno více změn, je rozhodný součet hodnoty všech změn podle tohoto odstavce.</w:t>
      </w:r>
    </w:p>
    <w:p w14:paraId="1DA7B368" w14:textId="77777777" w:rsidR="00D04A6E" w:rsidRDefault="00D04A6E" w:rsidP="00627DCD">
      <w:pPr>
        <w:pStyle w:val="l4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59A5EA5" w14:textId="77777777" w:rsidR="000E0685" w:rsidRPr="00A233C1" w:rsidRDefault="00D04A6E" w:rsidP="00A233C1">
      <w:pPr>
        <w:pStyle w:val="l4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Zadavatel </w:t>
      </w:r>
      <w:r w:rsidR="00612128">
        <w:rPr>
          <w:rFonts w:asciiTheme="minorHAnsi" w:hAnsiTheme="minorHAnsi" w:cstheme="minorHAnsi"/>
          <w:color w:val="000000"/>
          <w:sz w:val="22"/>
          <w:szCs w:val="22"/>
        </w:rPr>
        <w:t xml:space="preserve">tak musí vždy zkoumat konkrétní okolnosti změny, zda </w:t>
      </w:r>
      <w:r w:rsidR="001C7A1C">
        <w:rPr>
          <w:rFonts w:asciiTheme="minorHAnsi" w:hAnsiTheme="minorHAnsi" w:cstheme="minorHAnsi"/>
          <w:color w:val="000000"/>
          <w:sz w:val="22"/>
          <w:szCs w:val="22"/>
        </w:rPr>
        <w:t xml:space="preserve">objektivně </w:t>
      </w:r>
      <w:r w:rsidR="00612128">
        <w:rPr>
          <w:rFonts w:asciiTheme="minorHAnsi" w:hAnsiTheme="minorHAnsi" w:cstheme="minorHAnsi"/>
          <w:color w:val="000000"/>
          <w:sz w:val="22"/>
          <w:szCs w:val="22"/>
        </w:rPr>
        <w:t xml:space="preserve">odpovídají </w:t>
      </w:r>
      <w:r w:rsidR="001C7A1C">
        <w:rPr>
          <w:rFonts w:asciiTheme="minorHAnsi" w:hAnsiTheme="minorHAnsi" w:cstheme="minorHAnsi"/>
          <w:color w:val="000000"/>
          <w:sz w:val="22"/>
          <w:szCs w:val="22"/>
        </w:rPr>
        <w:t>podmínkám pro změny smluv podle § 222, včetně možnosti změny podle § 222 odst. 6 v jakékoliv situaci, která zadavatele ve</w:t>
      </w:r>
      <w:r w:rsidR="00A233C1">
        <w:rPr>
          <w:rFonts w:asciiTheme="minorHAnsi" w:hAnsiTheme="minorHAnsi" w:cstheme="minorHAnsi"/>
          <w:color w:val="000000"/>
          <w:sz w:val="22"/>
          <w:szCs w:val="22"/>
        </w:rPr>
        <w:t>de k potenciální změně závazku.</w:t>
      </w:r>
    </w:p>
    <w:sectPr w:rsidR="000E0685" w:rsidRPr="00A23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F7"/>
    <w:rsid w:val="000E0685"/>
    <w:rsid w:val="001B6689"/>
    <w:rsid w:val="001C7A1C"/>
    <w:rsid w:val="00445A2F"/>
    <w:rsid w:val="00574761"/>
    <w:rsid w:val="00612128"/>
    <w:rsid w:val="00627DCD"/>
    <w:rsid w:val="009656F5"/>
    <w:rsid w:val="00A233C1"/>
    <w:rsid w:val="00B238A1"/>
    <w:rsid w:val="00D04A6E"/>
    <w:rsid w:val="00E044C3"/>
    <w:rsid w:val="00F35E7B"/>
    <w:rsid w:val="00FC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B5B4"/>
  <w15:chartTrackingRefBased/>
  <w15:docId w15:val="{5F0C4F9C-00AE-46B6-9F17-B571524F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3">
    <w:name w:val="l3"/>
    <w:basedOn w:val="Normln"/>
    <w:rsid w:val="000E0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0E0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0E068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A233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-vz.cz/metodiky-stanoviska/metodiky-k-zakonu-c-134-2016-sb-o-zadavani-verejnych-zakazek/metodicka-stanovisk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Studnička Vladimír</dc:creator>
  <cp:keywords/>
  <dc:description/>
  <cp:lastModifiedBy>Mottlová Ivona</cp:lastModifiedBy>
  <cp:revision>2</cp:revision>
  <dcterms:created xsi:type="dcterms:W3CDTF">2022-04-06T04:26:00Z</dcterms:created>
  <dcterms:modified xsi:type="dcterms:W3CDTF">2022-04-06T04:26:00Z</dcterms:modified>
</cp:coreProperties>
</file>