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76" w:rsidRPr="00D11D69" w:rsidRDefault="00806084" w:rsidP="00806084">
      <w:pPr>
        <w:pStyle w:val="Nadpis1"/>
        <w:jc w:val="center"/>
        <w:rPr>
          <w:b/>
          <w:u w:val="single"/>
        </w:rPr>
      </w:pPr>
      <w:bookmarkStart w:id="0" w:name="_GoBack"/>
      <w:bookmarkEnd w:id="0"/>
      <w:r w:rsidRPr="00D11D69">
        <w:rPr>
          <w:b/>
          <w:u w:val="single"/>
        </w:rPr>
        <w:t>Společné stanovisko</w:t>
      </w:r>
      <w:r w:rsidR="00F90376" w:rsidRPr="00D11D69">
        <w:rPr>
          <w:b/>
          <w:u w:val="single"/>
        </w:rPr>
        <w:t xml:space="preserve"> M</w:t>
      </w:r>
      <w:r w:rsidRPr="00D11D69">
        <w:rPr>
          <w:b/>
          <w:u w:val="single"/>
        </w:rPr>
        <w:t xml:space="preserve">inisterstva pro místní rozvoj a Úřadu pro ochranu hospodářské soutěže k problematice </w:t>
      </w:r>
      <w:r w:rsidR="00C44633">
        <w:rPr>
          <w:b/>
          <w:u w:val="single"/>
        </w:rPr>
        <w:t>možnosti uzavření smlouvy na bankovní služby</w:t>
      </w:r>
    </w:p>
    <w:p w:rsidR="00D90277" w:rsidRDefault="00D90277" w:rsidP="001F52EF">
      <w:pPr>
        <w:jc w:val="both"/>
      </w:pP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>Služby, které poskytují banky zadavatelům, jsou zpravidla veřejnými zakázkami. Poskytovány bývají na základě uzavření úplatné smlouvy mezi zadavatelem a dodavatelem, z níž vyplývá povinnost dodavatele poskytnout dodávky, služby nebo stavební práce.  Obecně je zákonem uložena povinnost zadat veřejné zakázky v zadávacím řízení (§ 2 zákona č. 134</w:t>
      </w:r>
      <w:r w:rsidRPr="00C44633">
        <w:rPr>
          <w:rFonts w:cstheme="minorHAnsi"/>
          <w:lang w:val="en-US"/>
        </w:rPr>
        <w:t>/</w:t>
      </w:r>
      <w:r w:rsidRPr="00C44633">
        <w:rPr>
          <w:rFonts w:cstheme="minorHAnsi"/>
        </w:rPr>
        <w:t>2016 Sb., o zadávání veřejných zakázek, ZZVZ). Zákon z tohoto obecného pravidla stanoví výjimky, které se jeví jako využitelné u bankovních služeb. Pro specifické situace umožňuje zákon postupovat ve flexibilních zadávacích řízeních.</w:t>
      </w:r>
    </w:p>
    <w:p w:rsidR="00C44633" w:rsidRPr="00C44633" w:rsidRDefault="00C44633" w:rsidP="00C44633">
      <w:pPr>
        <w:jc w:val="both"/>
        <w:rPr>
          <w:rFonts w:cstheme="minorHAnsi"/>
          <w:b/>
          <w:bCs/>
        </w:rPr>
      </w:pPr>
      <w:r w:rsidRPr="00C44633">
        <w:rPr>
          <w:rFonts w:cstheme="minorHAnsi"/>
          <w:b/>
          <w:bCs/>
        </w:rPr>
        <w:t>Výjimka pro úvěry a zápůjčky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</w:rPr>
        <w:t xml:space="preserve">Podle § 29 ZZVZ </w:t>
      </w:r>
      <w:r w:rsidRPr="00C44633">
        <w:rPr>
          <w:rFonts w:cstheme="minorHAnsi"/>
          <w:i/>
          <w:iCs/>
        </w:rPr>
        <w:t>není zadavatel povinen zadat veřejnou zakázku v zadávacím řízení, jde-li o úvěr nebo zápůjčku.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>V případě že podstatou bankovní služby bude úvěr nebo zápůjčka, nemusí zadavatel provést uzavření smlouvy s bankou v zadávacím řízení.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>Pokud by předmět veřejné zakázky zahrnoval jak úvěr, tak i plnění, které je zadavatel obecně povinen zadat v zadávacím řízení, bude se jednat o tzv. smíšenou zakázku (§ 32 ZZVZ). Předpokládanou hodnotu smíšené zakázky má zadavatel stanovit podle hodnoty části, kterou je povinen zadat v zadávacím řízení. Hodnota úvěru se tudíž do předpokládané hodnoty smíšené zakázky nezahrnuje.</w:t>
      </w:r>
    </w:p>
    <w:p w:rsidR="00C44633" w:rsidRPr="00C44633" w:rsidRDefault="00C44633" w:rsidP="00C44633">
      <w:pPr>
        <w:jc w:val="both"/>
        <w:rPr>
          <w:rFonts w:cstheme="minorHAnsi"/>
          <w:b/>
          <w:bCs/>
        </w:rPr>
      </w:pPr>
      <w:r w:rsidRPr="00C44633">
        <w:rPr>
          <w:rFonts w:cstheme="minorHAnsi"/>
          <w:b/>
          <w:bCs/>
        </w:rPr>
        <w:t>Výjimka pro veřejné zakázky malého rozsahu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  <w:i/>
          <w:iCs/>
        </w:rPr>
        <w:t>Veřejnou zakázkou malého rozsahu je</w:t>
      </w:r>
      <w:r w:rsidRPr="00C44633">
        <w:rPr>
          <w:rFonts w:cstheme="minorHAnsi"/>
        </w:rPr>
        <w:t xml:space="preserve"> podle § 27 písm. a) ZZVZ </w:t>
      </w:r>
      <w:r w:rsidRPr="00C44633">
        <w:rPr>
          <w:rFonts w:cstheme="minorHAnsi"/>
          <w:i/>
          <w:iCs/>
        </w:rPr>
        <w:t>veřejná zakázka, jejíž předpokládaná hodnota je rovna nebo nižší v případě veřejné zakázky na dodávky nebo na služby částce 2 000 000 Kč.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</w:rPr>
        <w:t xml:space="preserve">Předpokládaná hodnota bankovních služeb dlouhodobějšího charakteru se stanoví podle § 21 ZZVZ. </w:t>
      </w:r>
      <w:r w:rsidRPr="00C44633">
        <w:rPr>
          <w:rFonts w:cstheme="minorHAnsi"/>
          <w:i/>
          <w:iCs/>
        </w:rPr>
        <w:t>U veřejných zakázek na služby, u kterých se nestanoví celková smluvní cena, je rozhodná předpokládaná výše úplaty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  <w:i/>
          <w:iCs/>
        </w:rPr>
        <w:t>a) za celou dobu trvání smlouvy, je-li doba trvání smlouvy rovna 48 měsíců nebo kratší,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  <w:i/>
          <w:iCs/>
        </w:rPr>
        <w:t>b) za 48 měsíců u smlouvy na dobu neurčitou, nebo smlouvy s dobou trvání delší než 48 měsíců.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  <w:i/>
          <w:iCs/>
        </w:rPr>
        <w:t>U bankovních a finančních služeb musí zadavatel do předpokládané hodnoty zahrnout poplatky, provize, úroky a jiné související platby (§ 21 odst. 2 písm. b) ZZVZ).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>Pokud platby za bankovní služby za 4 roky nedosahují 2 000 000 Kč, nemusí být předmětné služby zadány v zadávacím řízení. Tato situace nastává často u vedení běžných účtů.</w:t>
      </w:r>
    </w:p>
    <w:p w:rsidR="00C44633" w:rsidRPr="00C44633" w:rsidRDefault="00C44633" w:rsidP="00C44633">
      <w:pPr>
        <w:jc w:val="both"/>
        <w:rPr>
          <w:rFonts w:cstheme="minorHAnsi"/>
        </w:rPr>
      </w:pP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</w:rPr>
        <w:lastRenderedPageBreak/>
        <w:t xml:space="preserve">Bankovní služby mívají charakter trvajících služeb ve smyslu § 19 ZZVZ. Podle § 19 odst. 1 ZZVZ </w:t>
      </w:r>
      <w:r w:rsidRPr="00C44633">
        <w:rPr>
          <w:rFonts w:cstheme="minorHAnsi"/>
          <w:i/>
          <w:iCs/>
        </w:rPr>
        <w:t>se předpokládaná hodnota veřejné zakázky, jejímž předmětem jsou pravidelně pořizované nebo trvající dodávky nebo služby, stanoví jako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  <w:i/>
          <w:iCs/>
        </w:rPr>
        <w:t>a) skutečná cena uhrazená zadavatelem za dodávky nebo služby stejného druhu během předcházejících 12 měsíců nebo předchozího účetního období, které je delší než 12 měsíců, upravená o změny v množství nebo cenách, které lze očekávat během následujících 12 měsíců, nebo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  <w:i/>
          <w:iCs/>
        </w:rPr>
        <w:t>b) součet předpokládaných hodnot jednotlivých dodávek a služeb, které mají být zadavatelem zadány během následujících 12 měsíců nebo v účetním období, které je delší než 12 měsíců, pokud nemá k dispozici údaje podle písmene a).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 xml:space="preserve">Do předpokládané hodnoty trvajících služeb se zahrnuje vždy alespoň 12 měsíců, případně delší účetní období, a to i kdyby měla být smlouva na veřejnou zakázku uzavřena na kratší dobu. Pokud zadavatel za bankovní služby za rok zaplatí více než 2 000 000 Kč, nebude se jednat o veřejnou zakázku malého rozsahu, i kdyby uzavíraná smlouva samotná měla pokrývat kratší dobu a dosáhnout nižší částky. </w:t>
      </w:r>
    </w:p>
    <w:p w:rsidR="00C44633" w:rsidRPr="00C44633" w:rsidRDefault="00C44633" w:rsidP="00C44633">
      <w:pPr>
        <w:jc w:val="both"/>
        <w:rPr>
          <w:rFonts w:cstheme="minorHAnsi"/>
          <w:b/>
          <w:bCs/>
        </w:rPr>
      </w:pPr>
      <w:r w:rsidRPr="00C44633">
        <w:rPr>
          <w:rFonts w:cstheme="minorHAnsi"/>
          <w:b/>
          <w:bCs/>
        </w:rPr>
        <w:t>Jednací řízení bez uveřejnění v důsledku krajně naléhavé okolnosti</w:t>
      </w:r>
    </w:p>
    <w:p w:rsidR="00C44633" w:rsidRPr="00C44633" w:rsidRDefault="00C44633" w:rsidP="00C44633">
      <w:pPr>
        <w:jc w:val="both"/>
        <w:rPr>
          <w:rFonts w:cstheme="minorHAnsi"/>
          <w:i/>
          <w:iCs/>
        </w:rPr>
      </w:pPr>
      <w:r w:rsidRPr="00C44633">
        <w:rPr>
          <w:rFonts w:cstheme="minorHAnsi"/>
        </w:rPr>
        <w:t xml:space="preserve">Podle § 63 odst. 5 ZZVZ </w:t>
      </w:r>
      <w:r w:rsidRPr="00C44633">
        <w:rPr>
          <w:rFonts w:cstheme="minorHAnsi"/>
          <w:i/>
          <w:iCs/>
        </w:rPr>
        <w:t>může zadavatel použít jednací řízení bez uveřejnění také, pokud je to nezbytné v důsledku krajně naléhavé okolnosti, kterou zadavatel nemohl předvídat a ani ji nezpůsobil, a nelze dodržet lhůty pro otevřené řízení, užší řízení nebo jednací řízení s uveřejněním.</w:t>
      </w:r>
    </w:p>
    <w:p w:rsidR="00C44633" w:rsidRPr="00C44633" w:rsidRDefault="00C44633" w:rsidP="00C44633">
      <w:pPr>
        <w:rPr>
          <w:rFonts w:cstheme="minorHAnsi"/>
        </w:rPr>
      </w:pPr>
      <w:r w:rsidRPr="00C44633">
        <w:rPr>
          <w:rFonts w:cstheme="minorHAnsi"/>
        </w:rPr>
        <w:t xml:space="preserve">Splnění podmínek pro využití jednacího řízení je potřeba posuzovat ad hoc případ od případu. Tento typ zadávacího řízení cílí zejména na situace se závažnými neodkladnými důsledky (např. ochrana zdraví a majetku po přírodních katastrofách). Postup v jednacím řízení bez uveřejnění bude zřejmě přijatelný, pokud se nezbytnost výběru nového poskytovatele bankovních služeb bude taktéž odvíjet od závažných hrozeb. 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>Obecně nelze vyloučit, že v důsledku situace na Ukrajině bude postup podle § 63 odst. 5 ZZVZ možný. Výběr nového poskytovatele bankovních služeb může být nezbytný v důsledku ukončení poskytování služeb některými bankami s vazbami na Rusko. Je zřejmé, že zadavatelé tuto okolnost nezpůsobili. Nastalá situace se jevila natolik nepravděpodobně, že lze dospět k závěru, že zadavatelé tento vývoj nemohli předvídat. Další podmínkou je, že není možné dodržet lhůty pro běžná zadávací řízení a smlouvu je nutné uzavřít urychleně. Zadavatelé se nebudou moci na § 63 odst. 5 ZZVZ odvolávat, pokud by zadávací řízení zahájili až s velkým časovým odstupem.</w:t>
      </w:r>
    </w:p>
    <w:p w:rsidR="00C44633" w:rsidRPr="00C44633" w:rsidRDefault="00C44633" w:rsidP="00C44633">
      <w:pPr>
        <w:jc w:val="both"/>
        <w:rPr>
          <w:rFonts w:cstheme="minorHAnsi"/>
        </w:rPr>
      </w:pPr>
      <w:r w:rsidRPr="00C44633">
        <w:rPr>
          <w:rFonts w:cstheme="minorHAnsi"/>
        </w:rPr>
        <w:t xml:space="preserve">Smlouvu nebude možné uzavřít na dobu neurčitou. Pokrývat může jen dobu, než bude možné provést standardní zadávací řízení. Oprávněností zadání veřejné zakázky v jednacím řízení bez uveřejnění podle § 63 odst. 5 ZZVZ se zabýval Nejvyšší správní soud v rozsudku ze dne 31. 8. 2020 </w:t>
      </w:r>
      <w:proofErr w:type="spellStart"/>
      <w:r w:rsidRPr="00C44633">
        <w:rPr>
          <w:rFonts w:cstheme="minorHAnsi"/>
        </w:rPr>
        <w:t>sp</w:t>
      </w:r>
      <w:proofErr w:type="spellEnd"/>
      <w:r w:rsidRPr="00C44633">
        <w:rPr>
          <w:rFonts w:cstheme="minorHAnsi"/>
        </w:rPr>
        <w:t>.</w:t>
      </w:r>
      <w:r w:rsidR="005419C3">
        <w:rPr>
          <w:rFonts w:cstheme="minorHAnsi"/>
        </w:rPr>
        <w:t xml:space="preserve"> </w:t>
      </w:r>
      <w:r w:rsidRPr="00C44633">
        <w:rPr>
          <w:rFonts w:cstheme="minorHAnsi"/>
        </w:rPr>
        <w:t>zn. 2 As 126/2019, a dospěl k závěru, že „</w:t>
      </w:r>
      <w:r w:rsidRPr="00C44633">
        <w:rPr>
          <w:rFonts w:cstheme="minorHAnsi"/>
          <w:i/>
          <w:iCs/>
        </w:rPr>
        <w:t>Z obecné zásady transparentnosti zadávání veřejných zakázek formulované v § 6 odst. 1 ZZVZ pak vyplývá požadavek, aby zadavatel při volbě postupu podle § 63 odst. 5 ZZVZ (předem) jednoznačně vymezil rozsah plnění, které zamýšlí v tomto mimořádném, z pohledu hospodářské soutěže do jisté míry „nelegitimním“ režimu poptat.</w:t>
      </w:r>
      <w:r w:rsidRPr="00C44633">
        <w:rPr>
          <w:rFonts w:cstheme="minorHAnsi"/>
        </w:rPr>
        <w:t>“</w:t>
      </w:r>
      <w:r>
        <w:rPr>
          <w:rFonts w:cstheme="minorHAnsi"/>
        </w:rPr>
        <w:t>.</w:t>
      </w:r>
      <w:r w:rsidRPr="00C44633">
        <w:rPr>
          <w:rFonts w:cstheme="minorHAnsi"/>
        </w:rPr>
        <w:t xml:space="preserve"> </w:t>
      </w:r>
    </w:p>
    <w:sectPr w:rsidR="00C44633" w:rsidRPr="00C446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57" w:rsidRDefault="003A6E57" w:rsidP="00806084">
      <w:pPr>
        <w:spacing w:after="0" w:line="240" w:lineRule="auto"/>
      </w:pPr>
      <w:r>
        <w:separator/>
      </w:r>
    </w:p>
  </w:endnote>
  <w:endnote w:type="continuationSeparator" w:id="0">
    <w:p w:rsidR="003A6E57" w:rsidRDefault="003A6E57" w:rsidP="0080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57" w:rsidRDefault="003A6E57" w:rsidP="00806084">
      <w:pPr>
        <w:spacing w:after="0" w:line="240" w:lineRule="auto"/>
      </w:pPr>
      <w:r>
        <w:separator/>
      </w:r>
    </w:p>
  </w:footnote>
  <w:footnote w:type="continuationSeparator" w:id="0">
    <w:p w:rsidR="003A6E57" w:rsidRDefault="003A6E57" w:rsidP="0080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0E" w:rsidRDefault="00BD290E" w:rsidP="00223C37">
    <w:pPr>
      <w:pStyle w:val="Zhlav"/>
      <w:rPr>
        <w:noProof/>
      </w:rPr>
    </w:pPr>
    <w:r>
      <w:rPr>
        <w:noProof/>
        <w:lang w:eastAsia="cs-CZ"/>
      </w:rPr>
      <w:drawing>
        <wp:inline distT="0" distB="0" distL="0" distR="0" wp14:anchorId="6520B9F4" wp14:editId="338ABB94">
          <wp:extent cx="2604187" cy="561975"/>
          <wp:effectExtent l="0" t="0" r="5715" b="635"/>
          <wp:docPr id="1" name="Obrázek 1" descr="https://mmr.cz/getmedia/810fe66d-d0d1-452c-b701-aea0fec9f29f/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mr.cz/getmedia/810fe66d-d0d1-452c-b701-aea0fec9f29f/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187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  <w:t xml:space="preserve">                                    </w:t>
    </w:r>
    <w:r>
      <w:rPr>
        <w:noProof/>
        <w:lang w:eastAsia="cs-CZ"/>
      </w:rPr>
      <w:drawing>
        <wp:inline distT="0" distB="0" distL="0" distR="0" wp14:anchorId="6C4AF2DB" wp14:editId="1253B073">
          <wp:extent cx="1876425" cy="82326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083" cy="843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90E" w:rsidRDefault="00BD290E" w:rsidP="00223C37">
    <w:pPr>
      <w:pStyle w:val="Zhlav"/>
    </w:pPr>
  </w:p>
  <w:p w:rsidR="00BD290E" w:rsidRDefault="00BD290E" w:rsidP="00223C37">
    <w:pPr>
      <w:pStyle w:val="Zhlav"/>
    </w:pPr>
  </w:p>
  <w:p w:rsidR="00BD290E" w:rsidRDefault="00BD290E" w:rsidP="00223C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7AA1"/>
    <w:multiLevelType w:val="hybridMultilevel"/>
    <w:tmpl w:val="4A8C3CEC"/>
    <w:lvl w:ilvl="0" w:tplc="B2ECB0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24FF"/>
    <w:multiLevelType w:val="hybridMultilevel"/>
    <w:tmpl w:val="0C928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6118B"/>
    <w:multiLevelType w:val="hybridMultilevel"/>
    <w:tmpl w:val="D800F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E5"/>
    <w:rsid w:val="0004653E"/>
    <w:rsid w:val="000637CB"/>
    <w:rsid w:val="00070FA1"/>
    <w:rsid w:val="000B272E"/>
    <w:rsid w:val="000D4A85"/>
    <w:rsid w:val="000E3DD2"/>
    <w:rsid w:val="000F5A14"/>
    <w:rsid w:val="001054A2"/>
    <w:rsid w:val="00113B10"/>
    <w:rsid w:val="00121DD3"/>
    <w:rsid w:val="00152C54"/>
    <w:rsid w:val="00156406"/>
    <w:rsid w:val="001F52EF"/>
    <w:rsid w:val="00223C37"/>
    <w:rsid w:val="00230786"/>
    <w:rsid w:val="002402DD"/>
    <w:rsid w:val="0024469B"/>
    <w:rsid w:val="00260C33"/>
    <w:rsid w:val="00262082"/>
    <w:rsid w:val="002674DA"/>
    <w:rsid w:val="00270DD5"/>
    <w:rsid w:val="002C25E9"/>
    <w:rsid w:val="002D5A56"/>
    <w:rsid w:val="002D7F01"/>
    <w:rsid w:val="002E017D"/>
    <w:rsid w:val="00305739"/>
    <w:rsid w:val="003118E5"/>
    <w:rsid w:val="00314C1F"/>
    <w:rsid w:val="003542B0"/>
    <w:rsid w:val="003759A9"/>
    <w:rsid w:val="0039019E"/>
    <w:rsid w:val="003A6E57"/>
    <w:rsid w:val="003C42D0"/>
    <w:rsid w:val="00417D8D"/>
    <w:rsid w:val="004329A6"/>
    <w:rsid w:val="00455084"/>
    <w:rsid w:val="00476D68"/>
    <w:rsid w:val="00486617"/>
    <w:rsid w:val="00505B0D"/>
    <w:rsid w:val="005269FF"/>
    <w:rsid w:val="00537A38"/>
    <w:rsid w:val="005419C3"/>
    <w:rsid w:val="005530BF"/>
    <w:rsid w:val="00580772"/>
    <w:rsid w:val="00585FDA"/>
    <w:rsid w:val="005E0119"/>
    <w:rsid w:val="006101EB"/>
    <w:rsid w:val="006564DB"/>
    <w:rsid w:val="00656FE0"/>
    <w:rsid w:val="006A71F6"/>
    <w:rsid w:val="00723FA4"/>
    <w:rsid w:val="007274ED"/>
    <w:rsid w:val="007332F3"/>
    <w:rsid w:val="0074372C"/>
    <w:rsid w:val="0078340C"/>
    <w:rsid w:val="00796D3A"/>
    <w:rsid w:val="007A0408"/>
    <w:rsid w:val="007A5D8B"/>
    <w:rsid w:val="007C04A1"/>
    <w:rsid w:val="007C3707"/>
    <w:rsid w:val="007D555E"/>
    <w:rsid w:val="007F271B"/>
    <w:rsid w:val="00806084"/>
    <w:rsid w:val="00857146"/>
    <w:rsid w:val="00894704"/>
    <w:rsid w:val="008A6123"/>
    <w:rsid w:val="008A6985"/>
    <w:rsid w:val="008C0B02"/>
    <w:rsid w:val="00935F83"/>
    <w:rsid w:val="00947C97"/>
    <w:rsid w:val="00950A38"/>
    <w:rsid w:val="00953CC8"/>
    <w:rsid w:val="009728DB"/>
    <w:rsid w:val="00996817"/>
    <w:rsid w:val="00A64E38"/>
    <w:rsid w:val="00A743DF"/>
    <w:rsid w:val="00AE110F"/>
    <w:rsid w:val="00B05547"/>
    <w:rsid w:val="00B141EF"/>
    <w:rsid w:val="00B23C0E"/>
    <w:rsid w:val="00B4171D"/>
    <w:rsid w:val="00B429DF"/>
    <w:rsid w:val="00BC40CD"/>
    <w:rsid w:val="00BD290E"/>
    <w:rsid w:val="00BE674C"/>
    <w:rsid w:val="00C44633"/>
    <w:rsid w:val="00C7467E"/>
    <w:rsid w:val="00C9526C"/>
    <w:rsid w:val="00CB078D"/>
    <w:rsid w:val="00CB507B"/>
    <w:rsid w:val="00CD3FD4"/>
    <w:rsid w:val="00CE13A7"/>
    <w:rsid w:val="00CF2DD0"/>
    <w:rsid w:val="00D0524F"/>
    <w:rsid w:val="00D11D69"/>
    <w:rsid w:val="00D5525D"/>
    <w:rsid w:val="00D676D2"/>
    <w:rsid w:val="00D90277"/>
    <w:rsid w:val="00DA38C2"/>
    <w:rsid w:val="00DD39A2"/>
    <w:rsid w:val="00E05B86"/>
    <w:rsid w:val="00E23FA7"/>
    <w:rsid w:val="00E44D81"/>
    <w:rsid w:val="00E6100A"/>
    <w:rsid w:val="00E735B7"/>
    <w:rsid w:val="00E9756A"/>
    <w:rsid w:val="00EB00FC"/>
    <w:rsid w:val="00ED677E"/>
    <w:rsid w:val="00ED6D71"/>
    <w:rsid w:val="00ED6DC9"/>
    <w:rsid w:val="00EE6BCE"/>
    <w:rsid w:val="00F517AD"/>
    <w:rsid w:val="00F62B64"/>
    <w:rsid w:val="00F65CD6"/>
    <w:rsid w:val="00F72D17"/>
    <w:rsid w:val="00F90376"/>
    <w:rsid w:val="00FA6EA8"/>
    <w:rsid w:val="00FB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ECEDD1-CD1E-485D-B834-3299412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0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18E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0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30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30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0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0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0B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05B8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60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60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608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610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6100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6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76D2"/>
  </w:style>
  <w:style w:type="paragraph" w:styleId="Zpat">
    <w:name w:val="footer"/>
    <w:basedOn w:val="Normln"/>
    <w:link w:val="ZpatChar"/>
    <w:uiPriority w:val="99"/>
    <w:unhideWhenUsed/>
    <w:rsid w:val="00D6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235DC-90A3-44D5-AAF3-321FD070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Adámková Markéta</dc:creator>
  <cp:keywords/>
  <dc:description/>
  <cp:lastModifiedBy>Lisá Kateřina</cp:lastModifiedBy>
  <cp:revision>2</cp:revision>
  <cp:lastPrinted>2021-09-01T06:59:00Z</cp:lastPrinted>
  <dcterms:created xsi:type="dcterms:W3CDTF">2022-03-08T08:19:00Z</dcterms:created>
  <dcterms:modified xsi:type="dcterms:W3CDTF">2022-03-08T08:19:00Z</dcterms:modified>
</cp:coreProperties>
</file>