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spacing w:before="60" w:after="60"/>
        <w:rPr>
          <w:b/>
          <w:b/>
          <w:bCs/>
          <w:sz w:val="32"/>
          <w:szCs w:val="32"/>
        </w:rPr>
      </w:pPr>
      <w:r>
        <w:rPr>
          <w:b/>
          <w:bCs/>
          <w:i w:val="false"/>
          <w:caps w:val="false"/>
          <w:smallCaps w:val="false"/>
          <w:color w:val="050505"/>
          <w:spacing w:val="0"/>
          <w:sz w:val="32"/>
          <w:szCs w:val="32"/>
        </w:rPr>
        <w:t>Cyklostezky podporuje i trenér reprezentačního týmu v silniční cyklistice Tomáš Konečný a další bývalí a současní čeští reprezentanti.</w:t>
      </w:r>
      <w:r>
        <w:rPr>
          <w:b/>
          <w:bCs/>
          <w:sz w:val="32"/>
          <w:szCs w:val="32"/>
        </w:rPr>
        <w:t xml:space="preserve"> </w:t>
      </w:r>
    </w:p>
    <w:p>
      <w:pPr>
        <w:pStyle w:val="Tlotextu"/>
        <w:jc w:val="center"/>
        <w:rPr>
          <w:rFonts w:ascii="Calibri" w:hAnsi="Calibri"/>
          <w:b/>
          <w:b/>
          <w:bCs/>
          <w:sz w:val="30"/>
          <w:szCs w:val="30"/>
        </w:rPr>
      </w:pPr>
      <w:r>
        <w:rPr>
          <w:b/>
          <w:bCs/>
          <w:sz w:val="32"/>
          <w:szCs w:val="32"/>
        </w:rPr>
        <w:t>a</w:t>
      </w:r>
    </w:p>
    <w:p>
      <w:pPr>
        <w:pStyle w:val="Tlotextu"/>
        <w:rPr>
          <w:b/>
          <w:b/>
          <w:bCs/>
          <w:sz w:val="32"/>
          <w:szCs w:val="32"/>
        </w:rPr>
      </w:pPr>
      <w:r>
        <w:rPr>
          <w:b/>
          <w:bCs/>
          <w:sz w:val="32"/>
          <w:szCs w:val="32"/>
        </w:rPr>
        <w:t>Hejtmani i města chtějí v Národním plánu obnovy peníze na cyklostezky</w:t>
      </w:r>
    </w:p>
    <w:p>
      <w:pPr>
        <w:pStyle w:val="Tlotextu"/>
        <w:ind w:left="5664" w:hanging="0"/>
        <w:rPr/>
      </w:pPr>
      <w:r>
        <w:rPr/>
      </w:r>
    </w:p>
    <w:p>
      <w:pPr>
        <w:pStyle w:val="Tlotextu"/>
        <w:rPr>
          <w:b/>
          <w:b/>
          <w:bCs/>
          <w:szCs w:val="26"/>
        </w:rPr>
      </w:pPr>
      <w:r>
        <w:rPr>
          <w:b/>
          <w:bCs/>
          <w:szCs w:val="26"/>
        </w:rPr>
        <w:t xml:space="preserve">Evropské státy včetně České republiky nyní připravují vlastní Národní plány obnovy (NPO). Ty jsou rozcestníkem pro finance z Evropské unie a mají pomoci znovu nastartovat ekonomiku. Mnohé země z nich směřují peníze na efektivní a udržitelnou dopravu, která zažila během pandemie rekordní vzestup – na tu cyklistickou. Hejtmani a města společně požadují vyčlenit na cyklodopravu alespoň 2,5 mld. Kč. Se svým požadavkem se Asociace krajů ČR obrátila na ministra Karla Havlíčka. Požadavek podporují statistiky spolku Partnerství pro městskou mobilitu, podle kterého se v posledních letech do cyklistické dopravy investovalo ročně v průměru půl miliardy korun. </w:t>
      </w:r>
    </w:p>
    <w:p>
      <w:pPr>
        <w:pStyle w:val="Tlotextu"/>
        <w:rPr>
          <w:i/>
          <w:i/>
          <w:iCs/>
          <w:sz w:val="16"/>
          <w:szCs w:val="16"/>
        </w:rPr>
      </w:pPr>
      <w:r>
        <w:rPr>
          <w:i/>
          <w:iCs/>
          <w:sz w:val="16"/>
          <w:szCs w:val="16"/>
        </w:rPr>
      </w:r>
    </w:p>
    <w:p>
      <w:pPr>
        <w:pStyle w:val="Normal"/>
        <w:rPr>
          <w:sz w:val="24"/>
          <w:szCs w:val="24"/>
        </w:rPr>
      </w:pPr>
      <w:r>
        <w:rPr>
          <w:sz w:val="24"/>
          <w:szCs w:val="24"/>
        </w:rPr>
        <w:t>Česko v rámci svého Národního plánu obnovy přerozděluje částku 172 miliard korun z Evropské unie, která bude využita v letech 2021 až 2023. Nastává tak ideální šance podpořit výstavbu infrastruktury, která regionům pomůže rozvíjet moderní mobilitu, včetně jízdy na kole či chůze. Balík má dle strategií EU podpořit investice do ekologické a digitální transformace a pomoci tak zotavit se z následků pandemie. Jak se ale ukázalo, stát má o „zmírňování dopadů” jiné představy. Zatímco kraje a města chtějí investovat do drobnějších projektů, veřejné a městské dopravy (jak říkají evropská doporučení k NPO), stát preferuje velké stavby.</w:t>
      </w:r>
    </w:p>
    <w:p>
      <w:pPr>
        <w:pStyle w:val="Tlotextu"/>
        <w:rPr>
          <w:i/>
          <w:i/>
          <w:iCs/>
          <w:sz w:val="16"/>
          <w:szCs w:val="16"/>
        </w:rPr>
      </w:pPr>
      <w:r>
        <w:rPr>
          <w:i/>
          <w:iCs/>
          <w:sz w:val="16"/>
          <w:szCs w:val="16"/>
        </w:rPr>
      </w:r>
    </w:p>
    <w:p>
      <w:pPr>
        <w:pStyle w:val="Normal"/>
        <w:rPr>
          <w:b/>
          <w:b/>
          <w:bCs/>
          <w:sz w:val="24"/>
          <w:szCs w:val="24"/>
        </w:rPr>
      </w:pPr>
      <w:r>
        <w:rPr>
          <w:b/>
          <w:bCs/>
          <w:sz w:val="24"/>
          <w:szCs w:val="24"/>
        </w:rPr>
        <w:t>Hejtmani požadují 2,5 mld. na cyklostezky</w:t>
      </w:r>
    </w:p>
    <w:p>
      <w:pPr>
        <w:pStyle w:val="Normal"/>
        <w:rPr>
          <w:sz w:val="24"/>
          <w:szCs w:val="24"/>
        </w:rPr>
      </w:pPr>
      <w:r>
        <w:rPr>
          <w:sz w:val="24"/>
          <w:szCs w:val="24"/>
        </w:rPr>
        <w:t xml:space="preserve">Hejtmani se obrátili společným dopisem na ministra Karla Havlíčka. Cyklodopravu označili za podstatnou oblast, která se v současné „pandemické době“ široce rozvíjí a v budoucnu bude tento rozvoj pokračovat. Na její podporu požadují vyčlenit v Národním plánu obnovy 2,5 mld. Kč. </w:t>
      </w:r>
    </w:p>
    <w:p>
      <w:pPr>
        <w:pStyle w:val="Normal"/>
        <w:rPr>
          <w:sz w:val="24"/>
          <w:szCs w:val="24"/>
        </w:rPr>
      </w:pPr>
      <w:r>
        <w:rPr>
          <w:i/>
          <w:iCs/>
          <w:sz w:val="24"/>
          <w:szCs w:val="24"/>
        </w:rPr>
        <w:t>„</w:t>
      </w:r>
      <w:r>
        <w:rPr>
          <w:i/>
          <w:color w:val="auto"/>
          <w:sz w:val="24"/>
          <w:szCs w:val="24"/>
        </w:rPr>
        <w:t xml:space="preserve">Cyklodoprava </w:t>
      </w:r>
      <w:r>
        <w:rPr>
          <w:i/>
          <w:iCs/>
          <w:color w:val="auto"/>
          <w:sz w:val="24"/>
          <w:szCs w:val="24"/>
        </w:rPr>
        <w:t xml:space="preserve">je u nás stále populárnější, což se v uplynulém roce projevilo naplno i v době pandemie. Jízda na kole je vhodným způsobem dopravy do zaměstnání či ideálním </w:t>
      </w:r>
      <w:r>
        <w:rPr>
          <w:i/>
          <w:color w:val="auto"/>
          <w:sz w:val="24"/>
          <w:szCs w:val="24"/>
        </w:rPr>
        <w:t>spojením pobytu v přírodě s relaxací a sportem</w:t>
      </w:r>
      <w:r>
        <w:rPr>
          <w:i/>
          <w:iCs/>
          <w:color w:val="FF0000"/>
          <w:sz w:val="24"/>
          <w:szCs w:val="24"/>
        </w:rPr>
        <w:t xml:space="preserve">. </w:t>
      </w:r>
      <w:r>
        <w:rPr>
          <w:i/>
          <w:iCs/>
          <w:color w:val="auto"/>
          <w:sz w:val="24"/>
          <w:szCs w:val="24"/>
        </w:rPr>
        <w:t xml:space="preserve">Rekreační cyklistika je dostupná prakticky všem věkovým kategoriím. </w:t>
      </w:r>
      <w:r>
        <w:rPr>
          <w:i/>
          <w:iCs/>
          <w:sz w:val="24"/>
          <w:szCs w:val="24"/>
        </w:rPr>
        <w:t>Podmínkou pro stoprocentní zážitek je ale bezpečnost. Právě tu pomohou zajistit investice do cyklostezek,"</w:t>
      </w:r>
      <w:r>
        <w:rPr>
          <w:sz w:val="24"/>
          <w:szCs w:val="24"/>
        </w:rPr>
        <w:t xml:space="preserve"> uvedl hejtman Olomouckého kraje Josef Suchánek.</w:t>
      </w:r>
    </w:p>
    <w:p>
      <w:pPr>
        <w:pStyle w:val="Tlotextu"/>
        <w:rPr>
          <w:i/>
          <w:i/>
          <w:iCs/>
          <w:sz w:val="16"/>
          <w:szCs w:val="16"/>
        </w:rPr>
      </w:pPr>
      <w:r>
        <w:rPr>
          <w:i/>
          <w:iCs/>
          <w:sz w:val="16"/>
          <w:szCs w:val="16"/>
        </w:rPr>
      </w:r>
    </w:p>
    <w:p>
      <w:pPr>
        <w:pStyle w:val="Normal"/>
        <w:rPr>
          <w:b/>
          <w:b/>
          <w:bCs/>
          <w:sz w:val="24"/>
          <w:szCs w:val="24"/>
          <w:lang w:val="cs"/>
        </w:rPr>
      </w:pPr>
      <w:r>
        <w:rPr>
          <w:b/>
          <w:bCs/>
          <w:sz w:val="24"/>
          <w:szCs w:val="24"/>
          <w:lang w:val="cs"/>
        </w:rPr>
        <w:t>Města a kraje potřebují 7 miliard na bezpečnou infrastrukturu</w:t>
      </w:r>
    </w:p>
    <w:p>
      <w:pPr>
        <w:pStyle w:val="Normal"/>
        <w:rPr>
          <w:sz w:val="24"/>
          <w:szCs w:val="24"/>
          <w:lang w:val="cs"/>
        </w:rPr>
      </w:pPr>
      <w:r>
        <w:rPr>
          <w:i/>
          <w:iCs/>
          <w:sz w:val="24"/>
          <w:szCs w:val="24"/>
          <w:lang w:val="cs"/>
        </w:rPr>
        <w:t>„</w:t>
      </w:r>
      <w:r>
        <w:rPr>
          <w:i/>
          <w:iCs/>
          <w:sz w:val="24"/>
          <w:szCs w:val="24"/>
          <w:lang w:val="cs"/>
        </w:rPr>
        <w:t>Během posledních pěti let se do cyklodopravy investovalo 2,66 miliardy korun, ať už z rozpočtu státu, krajů, nebo prostřednictvím fondů Evropské unie. To ročně představovalo v průměru 532 milionů,“</w:t>
      </w:r>
      <w:r>
        <w:rPr>
          <w:sz w:val="24"/>
          <w:szCs w:val="24"/>
          <w:lang w:val="cs"/>
        </w:rPr>
        <w:t xml:space="preserve"> říká Jaroslav Vymazal, předseda spolku Partnerství pro městskou mobilitu a pokračuje: </w:t>
      </w:r>
      <w:r>
        <w:rPr>
          <w:i/>
          <w:iCs/>
          <w:sz w:val="24"/>
          <w:szCs w:val="24"/>
          <w:lang w:val="cs"/>
        </w:rPr>
        <w:t>„Pokud bychom ale měli realizovat všechny plánované projekty, znamenalo by to ročně částku převyšující 2,3 miliardy.“</w:t>
      </w:r>
    </w:p>
    <w:p>
      <w:pPr>
        <w:pStyle w:val="Normal"/>
        <w:rPr>
          <w:sz w:val="24"/>
          <w:szCs w:val="24"/>
          <w:lang w:val="cs"/>
        </w:rPr>
      </w:pPr>
      <w:r>
        <w:rPr>
          <w:sz w:val="24"/>
          <w:szCs w:val="24"/>
          <w:lang w:val="cs"/>
        </w:rPr>
        <w:t>Že jsou investice potřeba, dokazuje například průzkum CityChangers, který sesbíral od měst i regionů 450 projektů cyklostezek v celkových nákladech minimálně 7 miliard Kč. Ty by přinesly přes 660 kilometrů bezpečných cest pro cyklodopravu</w:t>
      </w:r>
      <w:r>
        <w:rPr>
          <w:rStyle w:val="Ukotvenpoznmkypodarou"/>
          <w:sz w:val="24"/>
          <w:szCs w:val="24"/>
          <w:vertAlign w:val="superscript"/>
          <w:lang w:val="cs"/>
        </w:rPr>
        <w:footnoteReference w:id="2"/>
      </w:r>
      <w:r>
        <w:rPr>
          <w:sz w:val="24"/>
          <w:szCs w:val="24"/>
          <w:lang w:val="cs"/>
        </w:rPr>
        <w:t>.</w:t>
      </w:r>
    </w:p>
    <w:p>
      <w:pPr>
        <w:pStyle w:val="Normal"/>
        <w:rPr>
          <w:sz w:val="16"/>
          <w:szCs w:val="16"/>
          <w:lang w:val="cs"/>
        </w:rPr>
      </w:pPr>
      <w:r>
        <w:rPr>
          <w:sz w:val="16"/>
          <w:szCs w:val="16"/>
          <w:lang w:val="cs"/>
        </w:rPr>
      </w:r>
    </w:p>
    <w:p>
      <w:pPr>
        <w:pStyle w:val="Normal"/>
        <w:rPr>
          <w:b/>
          <w:b/>
          <w:sz w:val="24"/>
        </w:rPr>
      </w:pPr>
      <w:r>
        <w:rPr>
          <w:b/>
          <w:sz w:val="24"/>
        </w:rPr>
        <w:t>Investice do cyklistické dopravy v ČR</w:t>
      </w:r>
    </w:p>
    <w:tbl>
      <w:tblPr>
        <w:tblStyle w:val="Mkatabulky"/>
        <w:tblW w:w="8217" w:type="dxa"/>
        <w:jc w:val="left"/>
        <w:tblInd w:w="0" w:type="dxa"/>
        <w:tblLayout w:type="fixed"/>
        <w:tblCellMar>
          <w:top w:w="0" w:type="dxa"/>
          <w:left w:w="5" w:type="dxa"/>
          <w:bottom w:w="0" w:type="dxa"/>
          <w:right w:w="5" w:type="dxa"/>
        </w:tblCellMar>
        <w:tblLook w:firstRow="1" w:noVBand="1" w:lastRow="0" w:firstColumn="1" w:lastColumn="0" w:noHBand="0" w:val="04a0"/>
      </w:tblPr>
      <w:tblGrid>
        <w:gridCol w:w="2972"/>
        <w:gridCol w:w="2552"/>
        <w:gridCol w:w="2693"/>
      </w:tblGrid>
      <w:tr>
        <w:trPr/>
        <w:tc>
          <w:tcPr>
            <w:tcW w:w="2972" w:type="dxa"/>
            <w:tcBorders/>
            <w:vAlign w:val="center"/>
          </w:tcPr>
          <w:p>
            <w:pPr>
              <w:pStyle w:val="Normal"/>
              <w:widowControl w:val="false"/>
              <w:suppressAutoHyphens w:val="true"/>
              <w:spacing w:before="60" w:after="60"/>
              <w:rPr>
                <w:b/>
                <w:b/>
                <w:bCs/>
                <w:sz w:val="24"/>
                <w:szCs w:val="24"/>
              </w:rPr>
            </w:pPr>
            <w:r>
              <w:rPr>
                <w:b/>
                <w:bCs/>
                <w:sz w:val="24"/>
                <w:szCs w:val="24"/>
              </w:rPr>
            </w:r>
          </w:p>
        </w:tc>
        <w:tc>
          <w:tcPr>
            <w:tcW w:w="2552" w:type="dxa"/>
            <w:tcBorders/>
          </w:tcPr>
          <w:p>
            <w:pPr>
              <w:pStyle w:val="Normal"/>
              <w:widowControl w:val="false"/>
              <w:suppressAutoHyphens w:val="true"/>
              <w:spacing w:before="60" w:after="60"/>
              <w:jc w:val="center"/>
              <w:rPr>
                <w:b/>
                <w:b/>
                <w:bCs/>
                <w:sz w:val="24"/>
                <w:szCs w:val="24"/>
              </w:rPr>
            </w:pPr>
            <w:r>
              <w:rPr>
                <w:rFonts w:eastAsia="Helvetica Neue"/>
                <w:b/>
                <w:bCs/>
                <w:kern w:val="0"/>
                <w:sz w:val="24"/>
                <w:szCs w:val="24"/>
                <w:lang w:val="cs-CZ" w:eastAsia="en-US" w:bidi="ar-SA"/>
              </w:rPr>
              <w:t>Bylo investováno</w:t>
            </w:r>
          </w:p>
          <w:p>
            <w:pPr>
              <w:pStyle w:val="Normal"/>
              <w:widowControl w:val="false"/>
              <w:suppressAutoHyphens w:val="true"/>
              <w:spacing w:before="60" w:after="60"/>
              <w:jc w:val="center"/>
              <w:rPr>
                <w:b/>
                <w:b/>
                <w:bCs/>
                <w:sz w:val="24"/>
                <w:szCs w:val="24"/>
              </w:rPr>
            </w:pPr>
            <w:r>
              <w:rPr>
                <w:rFonts w:eastAsia="Helvetica Neue"/>
                <w:b/>
                <w:bCs/>
                <w:kern w:val="0"/>
                <w:sz w:val="24"/>
                <w:szCs w:val="24"/>
                <w:lang w:val="cs-CZ" w:eastAsia="en-US" w:bidi="ar-SA"/>
              </w:rPr>
              <w:t>v letech 2015-2019</w:t>
            </w:r>
          </w:p>
        </w:tc>
        <w:tc>
          <w:tcPr>
            <w:tcW w:w="2693" w:type="dxa"/>
            <w:tcBorders/>
          </w:tcPr>
          <w:p>
            <w:pPr>
              <w:pStyle w:val="Normal"/>
              <w:widowControl w:val="false"/>
              <w:suppressAutoHyphens w:val="true"/>
              <w:spacing w:before="60" w:after="60"/>
              <w:jc w:val="center"/>
              <w:rPr>
                <w:b/>
                <w:b/>
                <w:bCs/>
                <w:sz w:val="24"/>
                <w:szCs w:val="24"/>
              </w:rPr>
            </w:pPr>
            <w:r>
              <w:rPr>
                <w:rFonts w:eastAsia="Helvetica Neue"/>
                <w:b/>
                <w:bCs/>
                <w:kern w:val="0"/>
                <w:sz w:val="24"/>
                <w:szCs w:val="24"/>
                <w:lang w:val="cs-CZ" w:eastAsia="en-US" w:bidi="ar-SA"/>
              </w:rPr>
              <w:t>Projekty připravené</w:t>
            </w:r>
          </w:p>
          <w:p>
            <w:pPr>
              <w:pStyle w:val="Normal"/>
              <w:widowControl w:val="false"/>
              <w:suppressAutoHyphens w:val="true"/>
              <w:spacing w:before="60" w:after="60"/>
              <w:jc w:val="center"/>
              <w:rPr>
                <w:b/>
                <w:b/>
                <w:bCs/>
                <w:sz w:val="24"/>
                <w:szCs w:val="24"/>
              </w:rPr>
            </w:pPr>
            <w:r>
              <w:rPr>
                <w:rFonts w:eastAsia="Helvetica Neue"/>
                <w:b/>
                <w:bCs/>
                <w:kern w:val="0"/>
                <w:sz w:val="24"/>
                <w:szCs w:val="24"/>
                <w:lang w:val="cs-CZ" w:eastAsia="en-US" w:bidi="ar-SA"/>
              </w:rPr>
              <w:t>na léta 2021-2023</w:t>
            </w:r>
          </w:p>
        </w:tc>
      </w:tr>
      <w:tr>
        <w:trPr/>
        <w:tc>
          <w:tcPr>
            <w:tcW w:w="2972" w:type="dxa"/>
            <w:tcBorders/>
            <w:vAlign w:val="center"/>
          </w:tcPr>
          <w:p>
            <w:pPr>
              <w:pStyle w:val="Normal"/>
              <w:widowControl w:val="false"/>
              <w:suppressAutoHyphens w:val="true"/>
              <w:spacing w:before="60" w:after="60"/>
              <w:rPr>
                <w:sz w:val="24"/>
                <w:szCs w:val="24"/>
              </w:rPr>
            </w:pPr>
            <w:r>
              <w:rPr>
                <w:rFonts w:eastAsia="Helvetica Neue"/>
                <w:kern w:val="0"/>
                <w:sz w:val="24"/>
                <w:szCs w:val="24"/>
                <w:lang w:val="cs-CZ" w:eastAsia="en-US" w:bidi="ar-SA"/>
              </w:rPr>
              <w:t>Evropské fondy (IROP)</w:t>
            </w:r>
          </w:p>
        </w:tc>
        <w:tc>
          <w:tcPr>
            <w:tcW w:w="2552" w:type="dxa"/>
            <w:tcBorders/>
          </w:tcPr>
          <w:p>
            <w:pPr>
              <w:pStyle w:val="Normal"/>
              <w:widowControl w:val="false"/>
              <w:suppressAutoHyphens w:val="true"/>
              <w:spacing w:before="60" w:after="60"/>
              <w:jc w:val="right"/>
              <w:rPr>
                <w:sz w:val="24"/>
                <w:szCs w:val="24"/>
              </w:rPr>
            </w:pPr>
            <w:r>
              <w:rPr>
                <w:rFonts w:eastAsia="Helvetica Neue"/>
                <w:kern w:val="0"/>
                <w:sz w:val="24"/>
                <w:szCs w:val="24"/>
                <w:lang w:val="cs-CZ" w:eastAsia="en-US" w:bidi="ar-SA"/>
              </w:rPr>
              <w:t>833 mil. Kč</w:t>
            </w:r>
          </w:p>
        </w:tc>
        <w:tc>
          <w:tcPr>
            <w:tcW w:w="2693" w:type="dxa"/>
            <w:tcBorders/>
          </w:tcPr>
          <w:p>
            <w:pPr>
              <w:pStyle w:val="Normal"/>
              <w:widowControl w:val="false"/>
              <w:suppressAutoHyphens w:val="true"/>
              <w:spacing w:before="60" w:after="60"/>
              <w:jc w:val="right"/>
              <w:rPr>
                <w:sz w:val="24"/>
                <w:szCs w:val="24"/>
              </w:rPr>
            </w:pPr>
            <w:r>
              <w:rPr>
                <w:sz w:val="24"/>
                <w:szCs w:val="24"/>
              </w:rPr>
            </w:r>
          </w:p>
        </w:tc>
      </w:tr>
      <w:tr>
        <w:trPr/>
        <w:tc>
          <w:tcPr>
            <w:tcW w:w="2972" w:type="dxa"/>
            <w:tcBorders/>
            <w:vAlign w:val="center"/>
          </w:tcPr>
          <w:p>
            <w:pPr>
              <w:pStyle w:val="Normal"/>
              <w:widowControl w:val="false"/>
              <w:suppressAutoHyphens w:val="true"/>
              <w:spacing w:before="60" w:after="60"/>
              <w:rPr>
                <w:sz w:val="24"/>
                <w:szCs w:val="24"/>
              </w:rPr>
            </w:pPr>
            <w:r>
              <w:rPr>
                <w:rFonts w:eastAsia="Helvetica Neue"/>
                <w:kern w:val="0"/>
                <w:sz w:val="24"/>
                <w:szCs w:val="24"/>
                <w:lang w:val="cs-CZ" w:eastAsia="en-US" w:bidi="ar-SA"/>
              </w:rPr>
              <w:t>Stát</w:t>
            </w:r>
          </w:p>
        </w:tc>
        <w:tc>
          <w:tcPr>
            <w:tcW w:w="2552" w:type="dxa"/>
            <w:tcBorders/>
          </w:tcPr>
          <w:p>
            <w:pPr>
              <w:pStyle w:val="Normal"/>
              <w:widowControl w:val="false"/>
              <w:suppressAutoHyphens w:val="true"/>
              <w:spacing w:before="60" w:after="60"/>
              <w:jc w:val="right"/>
              <w:rPr>
                <w:sz w:val="24"/>
                <w:szCs w:val="24"/>
              </w:rPr>
            </w:pPr>
            <w:r>
              <w:rPr>
                <w:rFonts w:eastAsia="Helvetica Neue"/>
                <w:kern w:val="0"/>
                <w:sz w:val="24"/>
                <w:szCs w:val="24"/>
                <w:lang w:val="cs-CZ" w:eastAsia="en-US" w:bidi="ar-SA"/>
              </w:rPr>
              <w:t>733 mil. Kč</w:t>
            </w:r>
          </w:p>
        </w:tc>
        <w:tc>
          <w:tcPr>
            <w:tcW w:w="2693" w:type="dxa"/>
            <w:tcBorders/>
          </w:tcPr>
          <w:p>
            <w:pPr>
              <w:pStyle w:val="Normal"/>
              <w:widowControl w:val="false"/>
              <w:suppressAutoHyphens w:val="true"/>
              <w:spacing w:before="60" w:after="60"/>
              <w:jc w:val="right"/>
              <w:rPr>
                <w:sz w:val="24"/>
                <w:szCs w:val="24"/>
              </w:rPr>
            </w:pPr>
            <w:r>
              <w:rPr>
                <w:sz w:val="24"/>
                <w:szCs w:val="24"/>
              </w:rPr>
            </w:r>
          </w:p>
        </w:tc>
      </w:tr>
      <w:tr>
        <w:trPr/>
        <w:tc>
          <w:tcPr>
            <w:tcW w:w="2972" w:type="dxa"/>
            <w:tcBorders/>
            <w:vAlign w:val="center"/>
          </w:tcPr>
          <w:p>
            <w:pPr>
              <w:pStyle w:val="Normal"/>
              <w:widowControl w:val="false"/>
              <w:suppressAutoHyphens w:val="true"/>
              <w:spacing w:before="60" w:after="60"/>
              <w:rPr>
                <w:sz w:val="24"/>
                <w:szCs w:val="24"/>
              </w:rPr>
            </w:pPr>
            <w:r>
              <w:rPr>
                <w:rFonts w:eastAsia="Helvetica Neue"/>
                <w:kern w:val="0"/>
                <w:sz w:val="24"/>
                <w:szCs w:val="24"/>
                <w:lang w:val="cs-CZ" w:eastAsia="en-US" w:bidi="ar-SA"/>
              </w:rPr>
              <w:t>Kraje</w:t>
            </w:r>
          </w:p>
        </w:tc>
        <w:tc>
          <w:tcPr>
            <w:tcW w:w="2552" w:type="dxa"/>
            <w:tcBorders/>
          </w:tcPr>
          <w:p>
            <w:pPr>
              <w:pStyle w:val="Normal"/>
              <w:widowControl w:val="false"/>
              <w:suppressAutoHyphens w:val="true"/>
              <w:spacing w:before="60" w:after="60"/>
              <w:jc w:val="right"/>
              <w:rPr>
                <w:sz w:val="24"/>
                <w:szCs w:val="24"/>
              </w:rPr>
            </w:pPr>
            <w:r>
              <w:rPr>
                <w:rFonts w:eastAsia="Helvetica Neue"/>
                <w:kern w:val="0"/>
                <w:sz w:val="24"/>
                <w:szCs w:val="24"/>
                <w:lang w:val="cs-CZ" w:eastAsia="en-US" w:bidi="ar-SA"/>
              </w:rPr>
              <w:t>1.055 mil. Kč</w:t>
            </w:r>
          </w:p>
        </w:tc>
        <w:tc>
          <w:tcPr>
            <w:tcW w:w="2693" w:type="dxa"/>
            <w:tcBorders/>
          </w:tcPr>
          <w:p>
            <w:pPr>
              <w:pStyle w:val="Normal"/>
              <w:widowControl w:val="false"/>
              <w:suppressAutoHyphens w:val="true"/>
              <w:spacing w:before="60" w:after="60"/>
              <w:jc w:val="right"/>
              <w:rPr>
                <w:sz w:val="24"/>
                <w:szCs w:val="24"/>
              </w:rPr>
            </w:pPr>
            <w:r>
              <w:rPr>
                <w:sz w:val="24"/>
                <w:szCs w:val="24"/>
              </w:rPr>
            </w:r>
          </w:p>
        </w:tc>
      </w:tr>
      <w:tr>
        <w:trPr/>
        <w:tc>
          <w:tcPr>
            <w:tcW w:w="2972" w:type="dxa"/>
            <w:tcBorders/>
          </w:tcPr>
          <w:p>
            <w:pPr>
              <w:pStyle w:val="Normal"/>
              <w:widowControl w:val="false"/>
              <w:suppressAutoHyphens w:val="true"/>
              <w:spacing w:before="60" w:after="60"/>
              <w:rPr>
                <w:b/>
                <w:b/>
                <w:bCs/>
                <w:sz w:val="24"/>
                <w:szCs w:val="24"/>
              </w:rPr>
            </w:pPr>
            <w:r>
              <w:rPr>
                <w:rFonts w:eastAsia="Helvetica Neue"/>
                <w:b/>
                <w:bCs/>
                <w:kern w:val="0"/>
                <w:sz w:val="24"/>
                <w:szCs w:val="24"/>
                <w:lang w:val="cs-CZ" w:eastAsia="en-US" w:bidi="ar-SA"/>
              </w:rPr>
              <w:t>CELKEM</w:t>
            </w:r>
          </w:p>
        </w:tc>
        <w:tc>
          <w:tcPr>
            <w:tcW w:w="2552" w:type="dxa"/>
            <w:tcBorders/>
            <w:vAlign w:val="bottom"/>
          </w:tcPr>
          <w:p>
            <w:pPr>
              <w:pStyle w:val="Normal"/>
              <w:widowControl w:val="false"/>
              <w:suppressAutoHyphens w:val="true"/>
              <w:spacing w:before="60" w:after="60"/>
              <w:jc w:val="right"/>
              <w:rPr>
                <w:b/>
                <w:b/>
                <w:bCs/>
                <w:sz w:val="24"/>
                <w:szCs w:val="24"/>
              </w:rPr>
            </w:pPr>
            <w:r>
              <w:rPr>
                <w:rFonts w:eastAsia="Helvetica Neue"/>
                <w:b/>
                <w:bCs/>
                <w:kern w:val="0"/>
                <w:sz w:val="24"/>
                <w:szCs w:val="24"/>
                <w:lang w:val="cs-CZ" w:eastAsia="en-US" w:bidi="ar-SA"/>
              </w:rPr>
              <w:t>2.661 mil. Kč</w:t>
            </w:r>
          </w:p>
        </w:tc>
        <w:tc>
          <w:tcPr>
            <w:tcW w:w="2693" w:type="dxa"/>
            <w:tcBorders/>
            <w:vAlign w:val="bottom"/>
          </w:tcPr>
          <w:p>
            <w:pPr>
              <w:pStyle w:val="Normal"/>
              <w:widowControl w:val="false"/>
              <w:suppressAutoHyphens w:val="true"/>
              <w:spacing w:before="60" w:after="60"/>
              <w:jc w:val="right"/>
              <w:rPr>
                <w:b/>
                <w:b/>
                <w:bCs/>
                <w:sz w:val="24"/>
                <w:szCs w:val="24"/>
              </w:rPr>
            </w:pPr>
            <w:r>
              <w:rPr>
                <w:rFonts w:eastAsia="Helvetica Neue"/>
                <w:b/>
                <w:bCs/>
                <w:kern w:val="0"/>
                <w:sz w:val="24"/>
                <w:szCs w:val="24"/>
                <w:lang w:val="cs-CZ" w:eastAsia="en-US" w:bidi="ar-SA"/>
              </w:rPr>
              <w:t>7.000 mil. Kč</w:t>
            </w:r>
          </w:p>
        </w:tc>
      </w:tr>
      <w:tr>
        <w:trPr/>
        <w:tc>
          <w:tcPr>
            <w:tcW w:w="2972" w:type="dxa"/>
            <w:tcBorders/>
          </w:tcPr>
          <w:p>
            <w:pPr>
              <w:pStyle w:val="Normal"/>
              <w:widowControl w:val="false"/>
              <w:suppressAutoHyphens w:val="true"/>
              <w:spacing w:before="60" w:after="60"/>
              <w:rPr>
                <w:b/>
                <w:b/>
                <w:bCs/>
                <w:sz w:val="24"/>
                <w:szCs w:val="24"/>
              </w:rPr>
            </w:pPr>
            <w:r>
              <w:rPr>
                <w:rFonts w:eastAsia="Helvetica Neue"/>
                <w:b/>
                <w:bCs/>
                <w:kern w:val="0"/>
                <w:sz w:val="24"/>
                <w:szCs w:val="24"/>
                <w:lang w:val="cs-CZ" w:eastAsia="en-US" w:bidi="ar-SA"/>
              </w:rPr>
              <w:t>CELKEM NA ROK</w:t>
            </w:r>
          </w:p>
        </w:tc>
        <w:tc>
          <w:tcPr>
            <w:tcW w:w="2552" w:type="dxa"/>
            <w:tcBorders/>
            <w:vAlign w:val="bottom"/>
          </w:tcPr>
          <w:p>
            <w:pPr>
              <w:pStyle w:val="Normal"/>
              <w:widowControl w:val="false"/>
              <w:suppressAutoHyphens w:val="true"/>
              <w:spacing w:before="60" w:after="60"/>
              <w:jc w:val="right"/>
              <w:rPr>
                <w:b/>
                <w:b/>
                <w:bCs/>
                <w:sz w:val="24"/>
                <w:szCs w:val="24"/>
              </w:rPr>
            </w:pPr>
            <w:r>
              <w:rPr>
                <w:rFonts w:eastAsia="Helvetica Neue"/>
                <w:b/>
                <w:bCs/>
                <w:kern w:val="0"/>
                <w:sz w:val="24"/>
                <w:szCs w:val="24"/>
                <w:lang w:val="cs-CZ" w:eastAsia="en-US" w:bidi="ar-SA"/>
              </w:rPr>
              <w:t>532,2 mil. Kč</w:t>
            </w:r>
          </w:p>
        </w:tc>
        <w:tc>
          <w:tcPr>
            <w:tcW w:w="2693" w:type="dxa"/>
            <w:tcBorders/>
            <w:vAlign w:val="bottom"/>
          </w:tcPr>
          <w:p>
            <w:pPr>
              <w:pStyle w:val="Normal"/>
              <w:widowControl w:val="false"/>
              <w:suppressAutoHyphens w:val="true"/>
              <w:spacing w:before="60" w:after="60"/>
              <w:jc w:val="right"/>
              <w:rPr>
                <w:b/>
                <w:b/>
                <w:bCs/>
                <w:sz w:val="24"/>
                <w:szCs w:val="24"/>
              </w:rPr>
            </w:pPr>
            <w:r>
              <w:rPr>
                <w:rFonts w:eastAsia="Helvetica Neue"/>
                <w:b/>
                <w:bCs/>
                <w:kern w:val="0"/>
                <w:sz w:val="24"/>
                <w:szCs w:val="24"/>
                <w:lang w:val="cs-CZ" w:eastAsia="en-US" w:bidi="ar-SA"/>
              </w:rPr>
              <w:t>2.333,33 mil. Kč</w:t>
            </w:r>
          </w:p>
        </w:tc>
      </w:tr>
    </w:tbl>
    <w:p>
      <w:pPr>
        <w:pStyle w:val="Normal"/>
        <w:rPr>
          <w:sz w:val="16"/>
          <w:szCs w:val="16"/>
          <w:lang w:val="cs"/>
        </w:rPr>
      </w:pPr>
      <w:r>
        <w:rPr>
          <w:sz w:val="16"/>
          <w:szCs w:val="16"/>
          <w:lang w:val="cs"/>
        </w:rPr>
      </w:r>
    </w:p>
    <w:p>
      <w:pPr>
        <w:pStyle w:val="Normal"/>
        <w:rPr>
          <w:sz w:val="24"/>
          <w:szCs w:val="24"/>
          <w:lang w:val="cs"/>
        </w:rPr>
      </w:pPr>
      <w:r>
        <w:rPr>
          <w:i/>
          <w:sz w:val="24"/>
          <w:szCs w:val="24"/>
          <w:lang w:val="cs"/>
        </w:rPr>
        <w:t>„</w:t>
      </w:r>
      <w:r>
        <w:rPr>
          <w:i/>
          <w:sz w:val="24"/>
          <w:szCs w:val="24"/>
          <w:lang w:val="cs"/>
        </w:rPr>
        <w:t>Pustit děti nebo nezkušené cyklisty do silničního provozu je mnohdy opravdu o život. Proto by měla být možnost sportovat bez obav dostupná pro všechny, o to víc v této době, kdy nás pohyb udržuje zdravé a v kondici,“</w:t>
      </w:r>
      <w:r>
        <w:rPr>
          <w:sz w:val="24"/>
          <w:szCs w:val="24"/>
          <w:lang w:val="cs"/>
        </w:rPr>
        <w:t xml:space="preserve"> říká Tomáš Konečný, trenér reprezentačního týmu v silniční cyklistice. „</w:t>
      </w:r>
      <w:r>
        <w:rPr>
          <w:i/>
          <w:sz w:val="24"/>
          <w:szCs w:val="24"/>
          <w:lang w:val="cs"/>
        </w:rPr>
        <w:t>Za každý další kilometr cyklostezky jsem rád nejen z pohledu sportovce nebo trenéra, ale také jako rodič</w:t>
      </w:r>
      <w:r>
        <w:rPr>
          <w:sz w:val="24"/>
          <w:szCs w:val="24"/>
          <w:lang w:val="cs"/>
        </w:rPr>
        <w:t>,“ dodává.</w:t>
      </w:r>
    </w:p>
    <w:p>
      <w:pPr>
        <w:pStyle w:val="Normal"/>
        <w:rPr>
          <w:sz w:val="16"/>
          <w:szCs w:val="16"/>
          <w:lang w:val="cs"/>
        </w:rPr>
      </w:pPr>
      <w:r>
        <w:rPr>
          <w:sz w:val="16"/>
          <w:szCs w:val="16"/>
          <w:lang w:val="cs"/>
        </w:rPr>
      </w:r>
    </w:p>
    <w:p>
      <w:pPr>
        <w:pStyle w:val="Normal"/>
        <w:rPr>
          <w:b/>
          <w:b/>
          <w:sz w:val="24"/>
          <w:szCs w:val="24"/>
          <w:lang w:val="cs"/>
        </w:rPr>
      </w:pPr>
      <w:r>
        <w:rPr>
          <w:b/>
          <w:sz w:val="24"/>
          <w:szCs w:val="24"/>
          <w:lang w:val="cs"/>
        </w:rPr>
        <w:t>Evropské státy chtějí víc</w:t>
      </w:r>
    </w:p>
    <w:p>
      <w:pPr>
        <w:pStyle w:val="Normal"/>
        <w:rPr>
          <w:sz w:val="24"/>
          <w:szCs w:val="24"/>
          <w:lang w:val="cs"/>
        </w:rPr>
      </w:pPr>
      <w:r>
        <w:rPr>
          <w:sz w:val="24"/>
          <w:szCs w:val="24"/>
          <w:lang w:val="cs"/>
        </w:rPr>
        <w:t xml:space="preserve">Jízda na kole má pozitivní dopad na jednotlivce, firmy, ekonomiku a společnost jako celek. To už si uvědomily mnohé evropské státy, které ve svých plánech obnovy s cyklodopravou počítají, ať už s využitím evropských zdrojů nebo z vlastních zdrojů. Ambiciózní plány představilo </w:t>
      </w:r>
      <w:r>
        <w:rPr>
          <w:b/>
          <w:sz w:val="24"/>
          <w:szCs w:val="24"/>
          <w:lang w:val="cs"/>
        </w:rPr>
        <w:t>Spojené království, Itálie</w:t>
      </w:r>
      <w:r>
        <w:rPr>
          <w:sz w:val="24"/>
          <w:szCs w:val="24"/>
          <w:lang w:val="cs"/>
        </w:rPr>
        <w:t xml:space="preserve"> či </w:t>
      </w:r>
      <w:r>
        <w:rPr>
          <w:b/>
          <w:sz w:val="24"/>
          <w:szCs w:val="24"/>
          <w:lang w:val="cs"/>
        </w:rPr>
        <w:t>Irsko</w:t>
      </w:r>
      <w:r>
        <w:rPr>
          <w:sz w:val="24"/>
          <w:szCs w:val="24"/>
          <w:lang w:val="cs"/>
        </w:rPr>
        <w:t xml:space="preserve">, které v příštích letech bude směřovat 10 % všech peněz na dopravu přímo na budování cyklostezek. </w:t>
      </w:r>
      <w:r>
        <w:rPr>
          <w:b/>
          <w:sz w:val="24"/>
          <w:szCs w:val="24"/>
          <w:lang w:val="cs"/>
        </w:rPr>
        <w:t xml:space="preserve">Slovensko </w:t>
      </w:r>
      <w:r>
        <w:rPr>
          <w:sz w:val="24"/>
          <w:szCs w:val="24"/>
          <w:lang w:val="cs"/>
        </w:rPr>
        <w:t>vyčlenilo ve svém plánu obnovy na cyklostezky 100 milionů eur, tedy 2,6 miliardy korun. Chce budovat kvalitní infrastrukturu, která bude logicky navazovat na veřejnou dopravu, především tu železniční.</w:t>
      </w:r>
    </w:p>
    <w:p>
      <w:pPr>
        <w:pStyle w:val="Normal"/>
        <w:rPr>
          <w:sz w:val="16"/>
          <w:szCs w:val="16"/>
          <w:lang w:val="cs"/>
        </w:rPr>
      </w:pPr>
      <w:r>
        <w:rPr>
          <w:sz w:val="16"/>
          <w:szCs w:val="16"/>
          <w:lang w:val="cs"/>
        </w:rPr>
      </w:r>
    </w:p>
    <w:p>
      <w:pPr>
        <w:pStyle w:val="Normal"/>
        <w:rPr>
          <w:b/>
          <w:b/>
          <w:sz w:val="24"/>
          <w:szCs w:val="24"/>
          <w:lang w:val="cs"/>
        </w:rPr>
      </w:pPr>
      <w:r>
        <w:rPr>
          <w:b/>
          <w:sz w:val="24"/>
          <w:szCs w:val="24"/>
          <w:lang w:val="cs"/>
        </w:rPr>
        <w:t>Investice do cyklodopravy se násobně vrací</w:t>
      </w:r>
    </w:p>
    <w:p>
      <w:pPr>
        <w:pStyle w:val="Normal"/>
        <w:rPr>
          <w:sz w:val="24"/>
          <w:szCs w:val="24"/>
          <w:lang w:val="cs"/>
        </w:rPr>
      </w:pPr>
      <w:r>
        <w:rPr>
          <w:sz w:val="24"/>
          <w:szCs w:val="24"/>
          <w:lang w:val="cs"/>
        </w:rPr>
        <w:t xml:space="preserve">Jak ukazují zkušenosti z jiných zemí, každé euro investic do cyklodopravy se vrací několikanásobně, ať už ve zdravotnictví, růstu podniků, v dopravě či v cestovním ruchu. Na rozdíl od mírně stagnujícího trhu s auty trh s jízdními koly (a především elektrokoly) nyní dynamicky roste. Spolu s ním roste i počet lidí zaměstnaných v tomto segmentu. V porovnání s ostatními evropskými zeměmi </w:t>
      </w:r>
      <w:r>
        <w:rPr>
          <w:b/>
          <w:sz w:val="24"/>
          <w:szCs w:val="24"/>
          <w:lang w:val="cs"/>
        </w:rPr>
        <w:t xml:space="preserve">obsadilo Česko třetí příčku </w:t>
      </w:r>
      <w:r>
        <w:rPr>
          <w:sz w:val="24"/>
          <w:szCs w:val="24"/>
          <w:lang w:val="cs"/>
        </w:rPr>
        <w:t xml:space="preserve">v počtu lidí zaměstnaných v cykloprůmyslu (v poměru k počtu obyvatel), jak ukázala nedávno zveřejněná zpráva německé Nadace Heinricha Bölla. </w:t>
      </w:r>
    </w:p>
    <w:p>
      <w:pPr>
        <w:pStyle w:val="Normal"/>
        <w:widowControl/>
        <w:spacing w:before="0" w:after="0"/>
        <w:jc w:val="left"/>
        <w:rPr>
          <w:sz w:val="24"/>
          <w:szCs w:val="24"/>
          <w:lang w:val="cs"/>
        </w:rPr>
      </w:pPr>
      <w:r>
        <w:rPr>
          <w:sz w:val="24"/>
          <w:szCs w:val="24"/>
          <w:lang w:val="cs"/>
        </w:rPr>
      </w:r>
      <w:r>
        <w:br w:type="page"/>
      </w:r>
    </w:p>
    <w:p>
      <w:pPr>
        <w:pStyle w:val="Normal"/>
        <w:rPr>
          <w:sz w:val="24"/>
          <w:szCs w:val="24"/>
          <w:lang w:val="cs"/>
        </w:rPr>
      </w:pPr>
      <w:r>
        <w:rPr>
          <w:i/>
          <w:iCs/>
          <w:sz w:val="24"/>
          <w:szCs w:val="24"/>
          <w:lang w:val="cs"/>
        </w:rPr>
        <w:t>„</w:t>
      </w:r>
      <w:r>
        <w:rPr>
          <w:i/>
          <w:iCs/>
          <w:sz w:val="24"/>
          <w:szCs w:val="24"/>
          <w:lang w:val="cs"/>
        </w:rPr>
        <w:t>Náklady na konstrukci a údržbu kvalitních cyklostezek jsou mnohem nižší v porovnání s budováním dálnic nebo rozšířením stávajících silnic,“</w:t>
      </w:r>
      <w:r>
        <w:rPr>
          <w:sz w:val="24"/>
          <w:szCs w:val="24"/>
          <w:lang w:val="cs"/>
        </w:rPr>
        <w:t xml:space="preserve"> konstatují autoři zprávy a naznačují tak, kudy se může ubírat další vývoj dopravy v Evropě. Na </w:t>
      </w:r>
      <w:r>
        <w:rPr>
          <w:b/>
          <w:sz w:val="24"/>
          <w:szCs w:val="24"/>
          <w:lang w:val="cs"/>
        </w:rPr>
        <w:t>70 % Čechů si přitom myslí</w:t>
      </w:r>
      <w:r>
        <w:rPr>
          <w:sz w:val="24"/>
          <w:szCs w:val="24"/>
          <w:lang w:val="cs"/>
        </w:rPr>
        <w:t>, že cyklostezek by buď mělo být víc, nebo by měly být v lepší kvalitě. Dle</w:t>
      </w:r>
      <w:hyperlink r:id="rId2">
        <w:r>
          <w:rPr>
            <w:sz w:val="24"/>
            <w:szCs w:val="24"/>
            <w:lang w:val="cs"/>
          </w:rPr>
          <w:t xml:space="preserve"> </w:t>
        </w:r>
      </w:hyperlink>
      <w:hyperlink r:id="rId3">
        <w:r>
          <w:rPr>
            <w:sz w:val="24"/>
            <w:szCs w:val="24"/>
            <w:lang w:val="cs"/>
          </w:rPr>
          <w:t>čísel agentury CzechTourism</w:t>
        </w:r>
      </w:hyperlink>
      <w:r>
        <w:rPr>
          <w:sz w:val="24"/>
          <w:szCs w:val="24"/>
          <w:lang w:val="cs"/>
        </w:rPr>
        <w:t xml:space="preserve"> </w:t>
      </w:r>
      <w:r>
        <w:rPr>
          <w:b/>
          <w:sz w:val="24"/>
          <w:szCs w:val="24"/>
          <w:lang w:val="cs"/>
        </w:rPr>
        <w:t>jezdí alespoň někdy na kole 72 % Čechů</w:t>
      </w:r>
      <w:r>
        <w:rPr>
          <w:sz w:val="24"/>
          <w:szCs w:val="24"/>
          <w:lang w:val="cs"/>
        </w:rPr>
        <w:t>.</w:t>
      </w:r>
    </w:p>
    <w:p>
      <w:pPr>
        <w:pStyle w:val="Normal"/>
        <w:rPr>
          <w:sz w:val="16"/>
          <w:szCs w:val="16"/>
          <w:lang w:val="cs"/>
        </w:rPr>
      </w:pPr>
      <w:r>
        <w:rPr>
          <w:sz w:val="16"/>
          <w:szCs w:val="16"/>
          <w:lang w:val="cs"/>
        </w:rPr>
      </w:r>
    </w:p>
    <w:p>
      <w:pPr>
        <w:pStyle w:val="Normal"/>
        <w:rPr>
          <w:b/>
          <w:b/>
          <w:sz w:val="24"/>
          <w:szCs w:val="24"/>
          <w:lang w:val="cs"/>
        </w:rPr>
      </w:pPr>
      <w:r>
        <w:rPr>
          <w:b/>
          <w:sz w:val="24"/>
          <w:szCs w:val="24"/>
          <w:lang w:val="cs"/>
        </w:rPr>
        <w:t>Plán ovlivní směřování Česka</w:t>
      </w:r>
    </w:p>
    <w:p>
      <w:pPr>
        <w:pStyle w:val="Normal"/>
        <w:rPr>
          <w:sz w:val="24"/>
          <w:szCs w:val="24"/>
          <w:lang w:val="cs"/>
        </w:rPr>
      </w:pPr>
      <w:r>
        <w:rPr>
          <w:sz w:val="24"/>
          <w:szCs w:val="24"/>
          <w:lang w:val="cs"/>
        </w:rPr>
        <w:t>Česká vláda v nejbližších dnech rozhodne, zda peníze na cyklistickou dopravu v plánu vyčlení. Zůstává tak otázkou, zda vláda dá na doporučení hejtmanů, měst, expertů i laiků. Jedno je ale jisté – investice do cyklostezek pomohou i těm, co na kole nejezdí.</w:t>
      </w:r>
    </w:p>
    <w:p>
      <w:pPr>
        <w:pStyle w:val="Normal"/>
        <w:rPr>
          <w:sz w:val="24"/>
          <w:szCs w:val="24"/>
          <w:lang w:val="cs"/>
        </w:rPr>
      </w:pPr>
      <w:r>
        <w:rPr>
          <w:sz w:val="24"/>
          <w:szCs w:val="24"/>
          <w:lang w:val="cs"/>
        </w:rPr>
      </w:r>
    </w:p>
    <w:p>
      <w:pPr>
        <w:pStyle w:val="Normal"/>
        <w:rPr>
          <w:sz w:val="16"/>
          <w:szCs w:val="16"/>
          <w:lang w:val="cs"/>
        </w:rPr>
      </w:pPr>
      <w:r>
        <w:rPr>
          <w:sz w:val="16"/>
          <w:szCs w:val="16"/>
          <w:lang w:val="cs"/>
        </w:rPr>
      </w:r>
    </w:p>
    <w:p>
      <w:pPr>
        <w:pStyle w:val="Normal"/>
        <w:rPr>
          <w:b/>
          <w:b/>
          <w:bCs/>
          <w:sz w:val="24"/>
          <w:szCs w:val="24"/>
        </w:rPr>
      </w:pPr>
      <w:r>
        <w:rPr>
          <w:b/>
          <w:bCs/>
          <w:sz w:val="24"/>
          <w:szCs w:val="24"/>
        </w:rPr>
        <w:t>KONTAKT:</w:t>
      </w:r>
    </w:p>
    <w:p>
      <w:pPr>
        <w:pStyle w:val="Normal"/>
        <w:rPr>
          <w:sz w:val="24"/>
          <w:szCs w:val="24"/>
        </w:rPr>
      </w:pPr>
      <w:r>
        <w:rPr>
          <w:sz w:val="24"/>
          <w:szCs w:val="24"/>
        </w:rPr>
        <w:t>V případě zájmu o další</w:t>
      </w:r>
      <w:r>
        <w:rPr>
          <w:sz w:val="24"/>
          <w:szCs w:val="24"/>
          <w:lang w:val="cs"/>
        </w:rPr>
        <w:t xml:space="preserve"> </w:t>
      </w:r>
      <w:r>
        <w:rPr>
          <w:sz w:val="24"/>
          <w:szCs w:val="24"/>
        </w:rPr>
        <w:t>informace prosím kontaktujte:</w:t>
      </w:r>
    </w:p>
    <w:p>
      <w:pPr>
        <w:pStyle w:val="ListParagraph"/>
        <w:numPr>
          <w:ilvl w:val="0"/>
          <w:numId w:val="1"/>
        </w:numPr>
        <w:rPr>
          <w:b/>
          <w:b/>
          <w:sz w:val="24"/>
          <w:szCs w:val="24"/>
          <w:lang w:val="cs"/>
        </w:rPr>
      </w:pPr>
      <w:r>
        <w:rPr>
          <w:b/>
          <w:sz w:val="24"/>
          <w:szCs w:val="24"/>
          <w:lang w:val="cs"/>
        </w:rPr>
        <w:t>Jaroslav VYMAZAL, poslanec Parlamentu ČR a předseda spolku Partnerství pro městskou mobilitu</w:t>
      </w:r>
    </w:p>
    <w:p>
      <w:pPr>
        <w:pStyle w:val="ListParagraph"/>
        <w:rPr>
          <w:sz w:val="24"/>
          <w:szCs w:val="24"/>
          <w:lang w:val="cs"/>
        </w:rPr>
      </w:pPr>
      <w:r>
        <w:rPr>
          <w:sz w:val="24"/>
          <w:szCs w:val="24"/>
          <w:lang w:val="cs"/>
        </w:rPr>
        <w:t>e mail: vymazalj@psp.cz, telefon: 567 167 114</w:t>
      </w:r>
    </w:p>
    <w:p>
      <w:pPr>
        <w:pStyle w:val="ListParagraph"/>
        <w:numPr>
          <w:ilvl w:val="0"/>
          <w:numId w:val="1"/>
        </w:numPr>
        <w:rPr>
          <w:b/>
          <w:b/>
          <w:sz w:val="24"/>
          <w:szCs w:val="24"/>
          <w:lang w:val="cs"/>
        </w:rPr>
      </w:pPr>
      <w:r>
        <w:rPr>
          <w:b/>
          <w:sz w:val="24"/>
          <w:szCs w:val="24"/>
          <w:lang w:val="cs"/>
        </w:rPr>
        <w:t>Tomáš KONEČNÝ, trenér reprezentačního týmu v silniční cyklistice</w:t>
      </w:r>
    </w:p>
    <w:p>
      <w:pPr>
        <w:pStyle w:val="ListParagraph"/>
        <w:rPr>
          <w:sz w:val="24"/>
          <w:szCs w:val="24"/>
          <w:lang w:val="cs"/>
        </w:rPr>
      </w:pPr>
      <w:r>
        <w:rPr>
          <w:sz w:val="24"/>
          <w:szCs w:val="24"/>
          <w:lang w:val="cs"/>
        </w:rPr>
        <w:t>e mail: konas73@gmail.com, mobil: 603 469 869</w:t>
      </w:r>
    </w:p>
    <w:p>
      <w:pPr>
        <w:pStyle w:val="ListParagraph"/>
        <w:ind w:left="0" w:hanging="0"/>
        <w:rPr>
          <w:sz w:val="24"/>
          <w:szCs w:val="24"/>
          <w:lang w:val="cs"/>
        </w:rPr>
      </w:pPr>
      <w:r>
        <w:rPr>
          <w:sz w:val="24"/>
          <w:szCs w:val="24"/>
          <w:lang w:val="cs"/>
        </w:rPr>
      </w:r>
    </w:p>
    <w:p>
      <w:pPr>
        <w:pStyle w:val="Normal"/>
        <w:rPr>
          <w:b/>
          <w:b/>
          <w:bCs/>
          <w:sz w:val="24"/>
          <w:szCs w:val="24"/>
        </w:rPr>
      </w:pPr>
      <w:r>
        <w:rPr>
          <w:b/>
          <w:bCs/>
          <w:sz w:val="24"/>
          <w:szCs w:val="24"/>
        </w:rPr>
        <w:t>ILUSTRAČNÍ FOTOGRAFIE A SCHEMATA</w:t>
      </w:r>
    </w:p>
    <w:p>
      <w:pPr>
        <w:pStyle w:val="ListParagraph"/>
        <w:numPr>
          <w:ilvl w:val="0"/>
          <w:numId w:val="2"/>
        </w:numPr>
        <w:rPr>
          <w:sz w:val="24"/>
          <w:szCs w:val="24"/>
          <w:lang w:val="cs"/>
        </w:rPr>
      </w:pPr>
      <w:r>
        <w:rPr>
          <w:sz w:val="24"/>
          <w:szCs w:val="24"/>
          <w:lang w:val="cs"/>
        </w:rPr>
        <w:t>foto1: Cyklostezky jsou vhodné řešení tam, kde je dostatek místa a požadavek na co nejvyšší bezpečnost. Foto: Jitka VRTALOVÁ</w:t>
      </w:r>
    </w:p>
    <w:p>
      <w:pPr>
        <w:pStyle w:val="ListParagraph"/>
        <w:numPr>
          <w:ilvl w:val="0"/>
          <w:numId w:val="2"/>
        </w:numPr>
        <w:rPr>
          <w:sz w:val="24"/>
          <w:szCs w:val="24"/>
          <w:lang w:val="cs"/>
        </w:rPr>
      </w:pPr>
      <w:r>
        <w:rPr>
          <w:sz w:val="24"/>
          <w:szCs w:val="24"/>
          <w:lang w:val="cs"/>
        </w:rPr>
        <w:t>Schema1: 10 důvodů proč podporovat cyklistiku. Zdroj: Partnerství pro městskou mobilitu</w:t>
      </w:r>
    </w:p>
    <w:p>
      <w:pPr>
        <w:pStyle w:val="Normal"/>
        <w:rPr>
          <w:b/>
          <w:b/>
          <w:bCs/>
          <w:sz w:val="24"/>
          <w:szCs w:val="24"/>
        </w:rPr>
      </w:pPr>
      <w:r>
        <w:rPr>
          <w:b/>
          <w:bCs/>
          <w:sz w:val="24"/>
          <w:szCs w:val="24"/>
        </w:rPr>
      </w:r>
    </w:p>
    <w:p>
      <w:pPr>
        <w:pStyle w:val="Normal"/>
        <w:rPr>
          <w:b/>
          <w:b/>
          <w:bCs/>
          <w:sz w:val="24"/>
          <w:szCs w:val="24"/>
        </w:rPr>
      </w:pPr>
      <w:r>
        <w:rPr>
          <w:b/>
          <w:bCs/>
          <w:sz w:val="24"/>
          <w:szCs w:val="24"/>
        </w:rPr>
        <w:t>DALŠÍ INFORMACE:</w:t>
      </w:r>
    </w:p>
    <w:p>
      <w:pPr>
        <w:pStyle w:val="ListParagraph"/>
        <w:numPr>
          <w:ilvl w:val="0"/>
          <w:numId w:val="2"/>
        </w:numPr>
        <w:rPr>
          <w:sz w:val="24"/>
          <w:szCs w:val="24"/>
          <w:lang w:val="cs"/>
        </w:rPr>
      </w:pPr>
      <w:hyperlink r:id="rId4">
        <w:r>
          <w:rPr>
            <w:rStyle w:val="Internetovodkaz"/>
            <w:sz w:val="24"/>
            <w:szCs w:val="24"/>
            <w:lang w:val="cs"/>
          </w:rPr>
          <w:t>Jak uvolnit prostředky z EU pro investice do cyklistiky</w:t>
        </w:r>
      </w:hyperlink>
      <w:r>
        <w:rPr>
          <w:sz w:val="24"/>
          <w:szCs w:val="24"/>
          <w:lang w:val="cs"/>
        </w:rPr>
        <w:t>: Průvodce Evropské cyklistické federace, 2020</w:t>
      </w:r>
    </w:p>
    <w:p>
      <w:pPr>
        <w:pStyle w:val="ListParagraph"/>
        <w:numPr>
          <w:ilvl w:val="0"/>
          <w:numId w:val="2"/>
        </w:numPr>
        <w:rPr>
          <w:sz w:val="24"/>
          <w:szCs w:val="24"/>
          <w:lang w:val="cs"/>
        </w:rPr>
      </w:pPr>
      <w:hyperlink r:id="rId5">
        <w:r>
          <w:rPr>
            <w:rStyle w:val="Internetovodkaz"/>
            <w:sz w:val="24"/>
            <w:szCs w:val="24"/>
            <w:lang w:val="cs"/>
          </w:rPr>
          <w:t xml:space="preserve"> </w:t>
        </w:r>
        <w:r>
          <w:rPr>
            <w:rStyle w:val="Internetovodkaz"/>
            <w:sz w:val="24"/>
            <w:szCs w:val="24"/>
            <w:lang w:val="cs"/>
          </w:rPr>
          <w:t>Evropský atlas mobility 2021</w:t>
        </w:r>
      </w:hyperlink>
      <w:r>
        <w:rPr>
          <w:rStyle w:val="Internetovodkaz"/>
          <w:sz w:val="24"/>
          <w:szCs w:val="24"/>
          <w:u w:val="none" w:color="414042"/>
          <w:lang w:val="cs"/>
        </w:rPr>
        <w:t xml:space="preserve"> (hlavní body z publikace na akademiemobility.cz, 8. 2. 2021)</w:t>
      </w:r>
    </w:p>
    <w:p>
      <w:pPr>
        <w:pStyle w:val="ListParagraph"/>
        <w:numPr>
          <w:ilvl w:val="0"/>
          <w:numId w:val="2"/>
        </w:numPr>
        <w:rPr>
          <w:rStyle w:val="Internetovodkaz"/>
          <w:sz w:val="24"/>
          <w:szCs w:val="24"/>
          <w:lang w:val="cs"/>
        </w:rPr>
      </w:pPr>
      <w:hyperlink r:id="rId6">
        <w:r>
          <w:rPr>
            <w:rStyle w:val="Internetovodkaz"/>
            <w:sz w:val="24"/>
            <w:szCs w:val="24"/>
            <w:lang w:val="cs"/>
          </w:rPr>
          <w:t xml:space="preserve">Mezinárodní výzva k akci: zohledněte cyklistiku v plánech obnovy a ve víceletých programech pro období 2021-2027: </w:t>
        </w:r>
        <w:r>
          <w:rPr>
            <w:rStyle w:val="Internetovodkaz"/>
            <w:sz w:val="24"/>
            <w:szCs w:val="24"/>
            <w:u w:val="none" w:color="414042"/>
            <w:lang w:val="cs"/>
          </w:rPr>
          <w:t>společná mezinárodní výzva partnerů z 9 zemí EU</w:t>
        </w:r>
      </w:hyperlink>
    </w:p>
    <w:p>
      <w:pPr>
        <w:pStyle w:val="ListParagraph"/>
        <w:numPr>
          <w:ilvl w:val="0"/>
          <w:numId w:val="2"/>
        </w:numPr>
        <w:rPr>
          <w:sz w:val="24"/>
          <w:szCs w:val="24"/>
        </w:rPr>
      </w:pPr>
      <w:hyperlink r:id="rId7">
        <w:r>
          <w:rPr>
            <w:rStyle w:val="Internetovodkaz"/>
            <w:sz w:val="24"/>
            <w:szCs w:val="24"/>
            <w:lang w:val="cs"/>
          </w:rPr>
          <w:t>Cyklistika v národních plánech na podporu oživení po pandemii COVID-19: Právě teď je čas jednat</w:t>
        </w:r>
      </w:hyperlink>
      <w:r>
        <w:rPr>
          <w:sz w:val="24"/>
          <w:szCs w:val="24"/>
          <w:lang w:val="cs"/>
        </w:rPr>
        <w:t xml:space="preserve"> (překlad článku Evropské cyklistické federace, </w:t>
      </w:r>
      <w:hyperlink r:id="rId8">
        <w:r>
          <w:rPr>
            <w:rStyle w:val="Internetovodkaz"/>
            <w:sz w:val="24"/>
            <w:szCs w:val="24"/>
            <w:lang w:val="cs"/>
          </w:rPr>
          <w:t>www.dobramesta.cz</w:t>
        </w:r>
      </w:hyperlink>
      <w:r>
        <w:rPr>
          <w:sz w:val="24"/>
          <w:szCs w:val="24"/>
          <w:lang w:val="cs"/>
        </w:rPr>
        <w:t>, 20. 3. 2021</w:t>
      </w:r>
    </w:p>
    <w:p>
      <w:pPr>
        <w:pStyle w:val="ListParagraph"/>
        <w:rPr>
          <w:sz w:val="24"/>
          <w:szCs w:val="24"/>
        </w:rPr>
      </w:pPr>
      <w:r>
        <w:rPr>
          <w:sz w:val="24"/>
          <w:szCs w:val="24"/>
        </w:rPr>
      </w:r>
    </w:p>
    <w:p>
      <w:pPr>
        <w:pStyle w:val="Normal"/>
        <w:ind w:hanging="0"/>
        <w:rPr>
          <w:rFonts w:ascii="Cambria" w:hAnsi="Cambria"/>
          <w:sz w:val="24"/>
          <w:szCs w:val="24"/>
        </w:rPr>
      </w:pPr>
      <w:r>
        <w:rPr>
          <w:rFonts w:cs="Arial Unicode MS" w:ascii="Cambria" w:hAnsi="Cambria"/>
          <w:b/>
          <w:bCs/>
          <w:color w:val="414042"/>
          <w:sz w:val="24"/>
          <w:szCs w:val="24"/>
          <w:u w:val="none" w:color="414042"/>
        </w:rPr>
        <w:t>VIDEO SPORTOVNÍ OSOBNOSTI</w:t>
      </w:r>
      <w:r>
        <w:rPr>
          <w:rFonts w:ascii="Cambria" w:hAnsi="Cambria"/>
          <w:b/>
          <w:bCs/>
          <w:sz w:val="24"/>
          <w:szCs w:val="24"/>
        </w:rPr>
        <w:t>:</w:t>
      </w:r>
    </w:p>
    <w:p>
      <w:pPr>
        <w:pStyle w:val="Normal"/>
        <w:numPr>
          <w:ilvl w:val="0"/>
          <w:numId w:val="3"/>
        </w:numPr>
        <w:rPr/>
      </w:pPr>
      <w:r>
        <w:rPr>
          <w:rFonts w:ascii="Calibri" w:hAnsi="Calibri"/>
          <w:b/>
          <w:bCs/>
          <w:sz w:val="22"/>
          <w:szCs w:val="22"/>
        </w:rPr>
        <w:t>Tomáš Konečný</w:t>
      </w:r>
      <w:r>
        <w:rPr>
          <w:rFonts w:ascii="Calibri" w:hAnsi="Calibri"/>
          <w:sz w:val="22"/>
          <w:szCs w:val="22"/>
        </w:rPr>
        <w:t xml:space="preserve"> - </w:t>
      </w:r>
      <w:hyperlink r:id="rId9">
        <w:r>
          <w:rPr>
            <w:rStyle w:val="Internetovodkaz"/>
            <w:rFonts w:ascii="Calibri" w:hAnsi="Calibri"/>
            <w:sz w:val="22"/>
            <w:szCs w:val="22"/>
          </w:rPr>
          <w:t>https://www.youtube.com/watch?v=HqlMZ6vBeS0</w:t>
        </w:r>
      </w:hyperlink>
    </w:p>
    <w:p>
      <w:pPr>
        <w:pStyle w:val="Normal"/>
        <w:numPr>
          <w:ilvl w:val="0"/>
          <w:numId w:val="3"/>
        </w:numPr>
        <w:rPr/>
      </w:pPr>
      <w:r>
        <w:rPr>
          <w:rFonts w:ascii="Calibri" w:hAnsi="Calibri"/>
          <w:b/>
          <w:bCs/>
          <w:sz w:val="22"/>
          <w:szCs w:val="22"/>
        </w:rPr>
        <w:t xml:space="preserve">Pavel Bittner - </w:t>
      </w:r>
      <w:hyperlink r:id="rId10">
        <w:r>
          <w:rPr>
            <w:rStyle w:val="Internetovodkaz"/>
            <w:rFonts w:ascii="Calibri" w:hAnsi="Calibri"/>
            <w:b w:val="false"/>
            <w:bCs w:val="false"/>
            <w:sz w:val="22"/>
            <w:szCs w:val="22"/>
          </w:rPr>
          <w:t>https://www.youtube.com/watch?v=7HlEhscWpwc</w:t>
        </w:r>
      </w:hyperlink>
    </w:p>
    <w:p>
      <w:pPr>
        <w:pStyle w:val="Normal"/>
        <w:numPr>
          <w:ilvl w:val="0"/>
          <w:numId w:val="3"/>
        </w:numPr>
        <w:rPr/>
      </w:pPr>
      <w:r>
        <w:rPr>
          <w:rFonts w:ascii="Calibri" w:hAnsi="Calibri"/>
          <w:b/>
          <w:bCs/>
          <w:sz w:val="22"/>
          <w:szCs w:val="22"/>
        </w:rPr>
        <w:t>Tereza Korvasová -</w:t>
      </w:r>
      <w:r>
        <w:rPr>
          <w:rFonts w:ascii="Calibri" w:hAnsi="Calibri"/>
          <w:sz w:val="22"/>
          <w:szCs w:val="22"/>
        </w:rPr>
        <w:t xml:space="preserve"> </w:t>
      </w:r>
      <w:hyperlink r:id="rId11">
        <w:r>
          <w:rPr>
            <w:rStyle w:val="Internetovodkaz"/>
            <w:rFonts w:ascii="Calibri" w:hAnsi="Calibri"/>
            <w:sz w:val="22"/>
            <w:szCs w:val="22"/>
          </w:rPr>
          <w:t>https://www.youtube.com/watch?v=rIW_tJWFkCI</w:t>
        </w:r>
      </w:hyperlink>
    </w:p>
    <w:p>
      <w:pPr>
        <w:pStyle w:val="Normal"/>
        <w:numPr>
          <w:ilvl w:val="0"/>
          <w:numId w:val="3"/>
        </w:numPr>
        <w:jc w:val="left"/>
        <w:rPr/>
      </w:pPr>
      <w:r>
        <w:rPr>
          <w:rFonts w:ascii="Calibri" w:hAnsi="Calibri"/>
          <w:b/>
          <w:bCs/>
          <w:sz w:val="22"/>
          <w:szCs w:val="22"/>
        </w:rPr>
        <w:t>Eva Fořtová -</w:t>
      </w:r>
      <w:r>
        <w:rPr>
          <w:rFonts w:ascii="Calibri" w:hAnsi="Calibri"/>
          <w:sz w:val="22"/>
          <w:szCs w:val="22"/>
        </w:rPr>
        <w:t xml:space="preserve"> </w:t>
      </w:r>
      <w:hyperlink r:id="rId12">
        <w:r>
          <w:rPr>
            <w:rStyle w:val="Internetovodkaz"/>
            <w:rFonts w:ascii="Calibri" w:hAnsi="Calibri"/>
            <w:sz w:val="22"/>
            <w:szCs w:val="22"/>
          </w:rPr>
          <w:t>https://www.youtube.com/watch?v=njOi5J6lvXs</w:t>
        </w:r>
      </w:hyperlink>
    </w:p>
    <w:p>
      <w:pPr>
        <w:pStyle w:val="Normal"/>
        <w:numPr>
          <w:ilvl w:val="0"/>
          <w:numId w:val="3"/>
        </w:numPr>
        <w:jc w:val="left"/>
        <w:rPr/>
      </w:pPr>
      <w:r>
        <w:rPr>
          <w:rFonts w:ascii="Calibri" w:hAnsi="Calibri"/>
          <w:b/>
          <w:bCs/>
          <w:sz w:val="22"/>
          <w:szCs w:val="22"/>
        </w:rPr>
        <w:t>Jiřina Ščučková -</w:t>
      </w:r>
      <w:r>
        <w:rPr>
          <w:rFonts w:ascii="Calibri" w:hAnsi="Calibri"/>
          <w:sz w:val="22"/>
          <w:szCs w:val="22"/>
        </w:rPr>
        <w:t xml:space="preserve"> </w:t>
      </w:r>
      <w:hyperlink r:id="rId13">
        <w:r>
          <w:rPr>
            <w:rStyle w:val="Internetovodkaz"/>
            <w:rFonts w:ascii="Calibri" w:hAnsi="Calibri"/>
            <w:sz w:val="22"/>
            <w:szCs w:val="22"/>
          </w:rPr>
          <w:t>https://www.youtube.com/watch?v=4CE2sNSwRpc</w:t>
        </w:r>
      </w:hyperlink>
    </w:p>
    <w:p>
      <w:pPr>
        <w:pStyle w:val="Normal"/>
        <w:numPr>
          <w:ilvl w:val="0"/>
          <w:numId w:val="3"/>
        </w:numPr>
        <w:jc w:val="left"/>
        <w:rPr/>
      </w:pPr>
      <w:r>
        <w:rPr>
          <w:rFonts w:ascii="Calibri" w:hAnsi="Calibri"/>
          <w:b/>
          <w:bCs/>
          <w:sz w:val="22"/>
          <w:szCs w:val="22"/>
        </w:rPr>
        <w:t>Lada Usnulová Kozlíková -</w:t>
      </w:r>
      <w:r>
        <w:rPr>
          <w:rFonts w:ascii="Calibri" w:hAnsi="Calibri"/>
          <w:sz w:val="22"/>
          <w:szCs w:val="22"/>
        </w:rPr>
        <w:t xml:space="preserve"> </w:t>
      </w:r>
      <w:hyperlink r:id="rId15">
        <w:r>
          <w:rPr>
            <w:rStyle w:val="Internetovodkaz"/>
            <w:rFonts w:ascii="Calibri" w:hAnsi="Calibri"/>
            <w:sz w:val="22"/>
            <w:szCs w:val="22"/>
          </w:rPr>
          <w:t>https://www.youtube.com/watch?v=ndgYOuJdRaM</w:t>
        </w:r>
      </w:hyperlink>
    </w:p>
    <w:p>
      <w:pPr>
        <w:pStyle w:val="Normal"/>
        <w:numPr>
          <w:ilvl w:val="0"/>
          <w:numId w:val="3"/>
        </w:numPr>
        <w:jc w:val="left"/>
        <w:rPr/>
      </w:pPr>
      <w:r>
        <w:rPr>
          <w:rStyle w:val="Internetovodkaz"/>
          <w:rFonts w:ascii="Calibri" w:hAnsi="Calibri"/>
          <w:b/>
          <w:bCs/>
          <w:sz w:val="22"/>
          <w:szCs w:val="22"/>
          <w:u w:val="none"/>
        </w:rPr>
        <w:t>Nikola Nosková -</w:t>
      </w:r>
      <w:r>
        <w:rPr>
          <w:rStyle w:val="Internetovodkaz"/>
          <w:rFonts w:ascii="Calibri" w:hAnsi="Calibri"/>
          <w:sz w:val="22"/>
          <w:szCs w:val="22"/>
        </w:rPr>
        <w:t xml:space="preserve"> </w:t>
      </w:r>
      <w:hyperlink r:id="rId17">
        <w:r>
          <w:rPr>
            <w:rStyle w:val="Internetovodkaz"/>
            <w:rFonts w:ascii="Calibri" w:hAnsi="Calibri"/>
            <w:sz w:val="22"/>
            <w:szCs w:val="22"/>
          </w:rPr>
          <w:t>https://www.youtube.com/watch?v=YEBzGq2YaNg</w:t>
        </w:r>
      </w:hyperlink>
    </w:p>
    <w:p>
      <w:pPr>
        <w:pStyle w:val="Normal"/>
        <w:numPr>
          <w:ilvl w:val="0"/>
          <w:numId w:val="3"/>
        </w:numPr>
        <w:jc w:val="left"/>
        <w:rPr/>
      </w:pPr>
      <w:r>
        <w:rPr>
          <w:rStyle w:val="Internetovodkaz"/>
          <w:rFonts w:ascii="Calibri" w:hAnsi="Calibri"/>
          <w:b/>
          <w:bCs/>
          <w:sz w:val="22"/>
          <w:szCs w:val="22"/>
          <w:u w:val="none"/>
        </w:rPr>
        <w:t>Pavlína Vašková (za svobodna Šulcová) -</w:t>
      </w:r>
      <w:r>
        <w:rPr>
          <w:rStyle w:val="Internetovodkaz"/>
          <w:rFonts w:ascii="Calibri" w:hAnsi="Calibri"/>
          <w:sz w:val="22"/>
          <w:szCs w:val="22"/>
        </w:rPr>
        <w:t xml:space="preserve"> </w:t>
      </w:r>
      <w:hyperlink r:id="rId19">
        <w:r>
          <w:rPr>
            <w:rStyle w:val="Internetovodkaz"/>
            <w:rFonts w:ascii="Calibri" w:hAnsi="Calibri"/>
            <w:sz w:val="22"/>
            <w:szCs w:val="22"/>
          </w:rPr>
          <w:t>https://www.youtube.com/watch?v=ozbA05gbhkE&amp;list=PL365JKhQUt8U1KcpfFouaHmMKFYTCBeFj&amp;index=13</w:t>
        </w:r>
      </w:hyperlink>
    </w:p>
    <w:p>
      <w:pPr>
        <w:pStyle w:val="Normal"/>
        <w:numPr>
          <w:ilvl w:val="0"/>
          <w:numId w:val="3"/>
        </w:numPr>
        <w:jc w:val="left"/>
        <w:rPr/>
      </w:pPr>
      <w:r>
        <w:rPr>
          <w:rStyle w:val="Internetovodkaz"/>
          <w:rFonts w:ascii="Calibri" w:hAnsi="Calibri"/>
          <w:b/>
          <w:bCs/>
          <w:sz w:val="22"/>
          <w:szCs w:val="22"/>
          <w:u w:val="none"/>
        </w:rPr>
        <w:t>Terza Beranová (za svobodna Trefná) -</w:t>
      </w:r>
      <w:r>
        <w:rPr>
          <w:rStyle w:val="Internetovodkaz"/>
          <w:rFonts w:ascii="Calibri" w:hAnsi="Calibri"/>
          <w:sz w:val="22"/>
          <w:szCs w:val="22"/>
        </w:rPr>
        <w:t xml:space="preserve"> </w:t>
      </w:r>
      <w:hyperlink r:id="rId21">
        <w:r>
          <w:rPr>
            <w:rStyle w:val="Internetovodkaz"/>
            <w:rFonts w:ascii="Calibri" w:hAnsi="Calibri"/>
            <w:sz w:val="22"/>
            <w:szCs w:val="22"/>
          </w:rPr>
          <w:t>https://www.youtube.com/watch?v=rI4AhTJ2H4Y&amp;list=PL365JKhQUt8U1KcpfFouaHmMKFYTCBeFj&amp;index=12</w:t>
        </w:r>
      </w:hyperlink>
    </w:p>
    <w:p>
      <w:pPr>
        <w:pStyle w:val="Normal"/>
        <w:numPr>
          <w:ilvl w:val="0"/>
          <w:numId w:val="3"/>
        </w:numPr>
        <w:jc w:val="left"/>
        <w:rPr/>
      </w:pPr>
      <w:r>
        <w:rPr>
          <w:rStyle w:val="Internetovodkaz"/>
          <w:rFonts w:ascii="Calibri" w:hAnsi="Calibri"/>
          <w:b/>
          <w:bCs/>
          <w:i w:val="false"/>
          <w:caps w:val="false"/>
          <w:smallCaps w:val="false"/>
          <w:spacing w:val="0"/>
          <w:sz w:val="22"/>
          <w:szCs w:val="22"/>
          <w:u w:val="none"/>
        </w:rPr>
        <w:t xml:space="preserve">Lucie Medgenberg (za svobodna Macíková) - první část - </w:t>
      </w:r>
      <w:r>
        <w:rPr>
          <w:rStyle w:val="Internetovodkaz"/>
          <w:rFonts w:ascii="Calibri" w:hAnsi="Calibri"/>
          <w:b w:val="false"/>
          <w:i w:val="false"/>
          <w:caps w:val="false"/>
          <w:smallCaps w:val="false"/>
          <w:spacing w:val="0"/>
          <w:sz w:val="22"/>
          <w:szCs w:val="22"/>
        </w:rPr>
        <w:t>https://www.youtube.com/watch?v=hDIlwoPB73c&amp;list=PL365JKhQUt8U1KcpfFouaHmMKFYTCBeFj&amp;index=16</w:t>
      </w:r>
    </w:p>
    <w:p>
      <w:pPr>
        <w:pStyle w:val="Normal"/>
        <w:numPr>
          <w:ilvl w:val="0"/>
          <w:numId w:val="3"/>
        </w:numPr>
        <w:jc w:val="left"/>
        <w:rPr/>
      </w:pPr>
      <w:r>
        <w:rPr>
          <w:rStyle w:val="Internetovodkaz"/>
          <w:rFonts w:ascii="Calibri" w:hAnsi="Calibri"/>
          <w:b/>
          <w:bCs/>
          <w:i w:val="false"/>
          <w:caps w:val="false"/>
          <w:smallCaps w:val="false"/>
          <w:spacing w:val="0"/>
          <w:sz w:val="22"/>
          <w:szCs w:val="22"/>
          <w:u w:val="none"/>
        </w:rPr>
        <w:t xml:space="preserve">Lucie Medgenberg (za svobodna Macíková) - druhá část - </w:t>
      </w:r>
      <w:hyperlink r:id="rId23">
        <w:r>
          <w:rPr>
            <w:rStyle w:val="Internetovodkaz"/>
            <w:rFonts w:ascii="Calibri" w:hAnsi="Calibri"/>
            <w:sz w:val="22"/>
            <w:szCs w:val="22"/>
          </w:rPr>
          <w:t>https://www.youtube.com/watch?v=-BIlhuQnvZE&amp;list=PL365JKhQUt8U1KcpfFouaHmMKFYTCBeFj&amp;index=17</w:t>
        </w:r>
      </w:hyperlink>
    </w:p>
    <w:p>
      <w:pPr>
        <w:pStyle w:val="Normal"/>
        <w:numPr>
          <w:ilvl w:val="0"/>
          <w:numId w:val="3"/>
        </w:numPr>
        <w:jc w:val="left"/>
        <w:rPr/>
      </w:pPr>
      <w:r>
        <w:rPr>
          <w:rStyle w:val="Internetovodkaz"/>
          <w:rFonts w:ascii="Calibri" w:hAnsi="Calibri"/>
          <w:b/>
          <w:bCs/>
          <w:sz w:val="22"/>
          <w:szCs w:val="22"/>
        </w:rPr>
        <w:t xml:space="preserve">Karel Slezáček - </w:t>
      </w:r>
      <w:hyperlink r:id="rId25">
        <w:r>
          <w:rPr>
            <w:rStyle w:val="Internetovodkaz"/>
            <w:rFonts w:ascii="Calibri" w:hAnsi="Calibri"/>
            <w:sz w:val="22"/>
            <w:szCs w:val="22"/>
          </w:rPr>
          <w:t>https://www.youtube.com/watch?v=KIKe0prhMuY&amp;list=PL365JKhQUt8U1KcpfFouaHmMKFYTCBeFj&amp;index=13</w:t>
        </w:r>
      </w:hyperlink>
    </w:p>
    <w:p>
      <w:pPr>
        <w:pStyle w:val="Normal"/>
        <w:jc w:val="left"/>
        <w:rPr>
          <w:rStyle w:val="Internetovodkaz"/>
          <w:rFonts w:ascii="Calibri" w:hAnsi="Calibri"/>
          <w:sz w:val="22"/>
          <w:szCs w:val="22"/>
        </w:rPr>
      </w:pPr>
      <w:r>
        <w:rPr/>
      </w:r>
    </w:p>
    <w:p>
      <w:pPr>
        <w:pStyle w:val="Normal"/>
        <w:spacing w:before="60" w:after="60"/>
        <w:jc w:val="left"/>
        <w:rPr/>
      </w:pPr>
      <w:r>
        <w:rPr>
          <w:rStyle w:val="Internetovodkaz"/>
          <w:rFonts w:ascii="Calibri" w:hAnsi="Calibri"/>
          <w:b/>
          <w:bCs/>
          <w:sz w:val="22"/>
          <w:szCs w:val="22"/>
          <w:u w:val="none"/>
        </w:rPr>
        <w:t>Zdroj:</w:t>
      </w:r>
      <w:r>
        <w:rPr>
          <w:rStyle w:val="Internetovodkaz"/>
          <w:rFonts w:ascii="Calibri" w:hAnsi="Calibri"/>
          <w:sz w:val="22"/>
          <w:szCs w:val="22"/>
          <w:u w:val="none"/>
        </w:rPr>
        <w:t xml:space="preserve">  </w:t>
      </w:r>
      <w:r>
        <w:rPr>
          <w:rStyle w:val="Internetovodkaz"/>
          <w:rFonts w:ascii="Calibri" w:hAnsi="Calibri"/>
          <w:b w:val="false"/>
          <w:i w:val="false"/>
          <w:caps w:val="false"/>
          <w:smallCaps w:val="false"/>
          <w:color w:val="303030"/>
          <w:spacing w:val="0"/>
          <w:sz w:val="22"/>
          <w:szCs w:val="22"/>
          <w:u w:val="none"/>
        </w:rPr>
        <w:t>Partnerství pro městskou mobilitu, z. s.</w:t>
      </w:r>
    </w:p>
    <w:sectPr>
      <w:headerReference w:type="default" r:id="rId26"/>
      <w:footerReference w:type="default" r:id="rId27"/>
      <w:footnotePr>
        <w:numFmt w:val="decimal"/>
      </w:footnotePr>
      <w:type w:val="nextPage"/>
      <w:pgSz w:w="11906" w:h="16838"/>
      <w:pgMar w:left="1134" w:right="1133" w:header="708" w:top="1985" w:footer="0" w:bottom="184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libri">
    <w:charset w:val="ee"/>
    <w:family w:val="roman"/>
    <w:pitch w:val="variable"/>
  </w:font>
  <w:font w:name="Arial">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ambria">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Wingdings 2">
    <w:charset w:val="02"/>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widowControl w:val="false"/>
      <w:bidi w:val="0"/>
      <w:spacing w:before="60" w:after="0"/>
      <w:jc w:val="both"/>
      <w:rPr/>
    </w:pPr>
    <w:r>
      <w:rPr/>
      <w:drawing>
        <wp:anchor behindDoc="1" distT="0" distB="0" distL="114300" distR="114300" simplePos="0" locked="0" layoutInCell="0" allowOverlap="1" relativeHeight="17">
          <wp:simplePos x="0" y="0"/>
          <wp:positionH relativeFrom="margin">
            <wp:posOffset>-628650</wp:posOffset>
          </wp:positionH>
          <wp:positionV relativeFrom="margin">
            <wp:posOffset>8156575</wp:posOffset>
          </wp:positionV>
          <wp:extent cx="7456805" cy="1289685"/>
          <wp:effectExtent l="0" t="0" r="0" b="0"/>
          <wp:wrapSquare wrapText="bothSides"/>
          <wp:docPr id="4"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1" descr=""/>
                  <pic:cNvPicPr>
                    <a:picLocks noChangeAspect="1" noChangeArrowheads="1"/>
                  </pic:cNvPicPr>
                </pic:nvPicPr>
                <pic:blipFill>
                  <a:blip r:embed="rId1"/>
                  <a:stretch>
                    <a:fillRect/>
                  </a:stretch>
                </pic:blipFill>
                <pic:spPr bwMode="auto">
                  <a:xfrm>
                    <a:off x="0" y="0"/>
                    <a:ext cx="7456805" cy="1289685"/>
                  </a:xfrm>
                  <a:prstGeom prst="rect">
                    <a:avLst/>
                  </a:prstGeom>
                </pic:spPr>
              </pic:pic>
            </a:graphicData>
          </a:graphic>
        </wp:anchor>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rFonts w:ascii="Calibri" w:hAnsi="Calibri" w:cs="Calibri"/>
          <w:lang w:val="cs-CZ"/>
        </w:rPr>
      </w:pPr>
      <w:r>
        <w:rPr>
          <w:rStyle w:val="Znakypropoznmkupodarou"/>
        </w:rPr>
        <w:footnoteRef/>
      </w:r>
      <w:r>
        <w:rPr>
          <w:rFonts w:cs="Calibri" w:ascii="Calibri" w:hAnsi="Calibri"/>
        </w:rPr>
        <w:t xml:space="preserve"> </w:t>
      </w:r>
      <w:r>
        <w:rPr>
          <w:rFonts w:cs="Calibri" w:ascii="Calibri" w:hAnsi="Calibri"/>
          <w:lang w:val="cs-CZ"/>
        </w:rPr>
        <w:t xml:space="preserve">Údaj platný k 20. 3. 2021. Aktuální data jsou k dispozici na </w:t>
      </w:r>
      <w:hyperlink r:id="rId1">
        <w:r>
          <w:rPr>
            <w:rStyle w:val="Internetovodkaz"/>
            <w:rFonts w:cs="Calibri" w:ascii="Calibri" w:hAnsi="Calibri"/>
            <w:lang w:val="cs-CZ"/>
          </w:rPr>
          <w:t>https://www.citychangers.cz/statistika</w:t>
        </w:r>
      </w:hyperlink>
      <w:r>
        <w:rPr>
          <w:rFonts w:cs="Calibri" w:ascii="Calibri" w:hAnsi="Calibri"/>
          <w:lang w:val="cs-CZ"/>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widowControl w:val="false"/>
      <w:bidi w:val="0"/>
      <w:spacing w:before="60" w:after="0"/>
      <w:jc w:val="both"/>
      <w:rPr/>
    </w:pPr>
    <w:r>
      <mc:AlternateContent>
        <mc:Choice Requires="wps">
          <w:drawing>
            <wp:anchor behindDoc="1" distT="0" distB="0" distL="0" distR="0" simplePos="0" locked="0" layoutInCell="0" allowOverlap="1" relativeHeight="9" wp14:anchorId="4F4C632F">
              <wp:simplePos x="0" y="0"/>
              <wp:positionH relativeFrom="page">
                <wp:posOffset>5476240</wp:posOffset>
              </wp:positionH>
              <wp:positionV relativeFrom="page">
                <wp:posOffset>10185400</wp:posOffset>
              </wp:positionV>
              <wp:extent cx="1362075" cy="205740"/>
              <wp:effectExtent l="0" t="0" r="0" b="0"/>
              <wp:wrapNone/>
              <wp:docPr id="1" name="officeArt object" descr="Textové pole 2"/>
              <a:graphic xmlns:a="http://schemas.openxmlformats.org/drawingml/2006/main">
                <a:graphicData uri="http://schemas.microsoft.com/office/word/2010/wordprocessingShape">
                  <wps:wsp>
                    <wps:cNvSpPr/>
                    <wps:spPr>
                      <a:xfrm>
                        <a:off x="0" y="0"/>
                        <a:ext cx="1361520" cy="205200"/>
                      </a:xfrm>
                      <a:prstGeom prst="rect">
                        <a:avLst/>
                      </a:prstGeom>
                      <a:noFill/>
                      <a:ln w="12700">
                        <a:noFill/>
                      </a:ln>
                    </wps:spPr>
                    <wps:style>
                      <a:lnRef idx="0"/>
                      <a:fillRef idx="0"/>
                      <a:effectRef idx="0"/>
                      <a:fontRef idx="minor"/>
                    </wps:style>
                    <wps:txbx>
                      <w:txbxContent>
                        <w:p>
                          <w:pPr>
                            <w:pStyle w:val="Obsahrmce"/>
                            <w:spacing w:before="60" w:after="60"/>
                            <w:rPr/>
                          </w:pPr>
                          <w:r>
                            <w:rPr>
                              <w:color w:val="92D050"/>
                              <w:u w:val="none" w:color="92D050"/>
                            </w:rPr>
                            <w:t>www.</w:t>
                          </w:r>
                          <w:r>
                            <w:rPr/>
                            <w:t>cyklomesta.cz</w:t>
                          </w:r>
                        </w:p>
                      </w:txbxContent>
                    </wps:txbx>
                    <wps:bodyPr lIns="45720" rIns="45720">
                      <a:noAutofit/>
                    </wps:bodyPr>
                  </wps:wsp>
                </a:graphicData>
              </a:graphic>
            </wp:anchor>
          </w:drawing>
        </mc:Choice>
        <mc:Fallback>
          <w:pict>
            <v:rect id="shape_0" ID="officeArt object" path="m0,0l-2147483645,0l-2147483645,-2147483646l0,-2147483646xe" stroked="f" style="position:absolute;margin-left:431.2pt;margin-top:802pt;width:107.15pt;height:16.1pt;mso-wrap-style:square;v-text-anchor:top;mso-position-horizontal-relative:page;mso-position-vertical-relative:page" wp14:anchorId="4F4C632F">
              <v:fill o:detectmouseclick="t" on="false"/>
              <v:stroke color="#3465a4" weight="12600" joinstyle="round" endcap="flat"/>
              <v:textbox>
                <w:txbxContent>
                  <w:p>
                    <w:pPr>
                      <w:pStyle w:val="Obsahrmce"/>
                      <w:spacing w:before="60" w:after="60"/>
                      <w:rPr/>
                    </w:pPr>
                    <w:r>
                      <w:rPr>
                        <w:color w:val="92D050"/>
                        <w:u w:val="none" w:color="92D050"/>
                      </w:rPr>
                      <w:t>www.</w:t>
                    </w:r>
                    <w:r>
                      <w:rPr/>
                      <w:t>cyklomesta.cz</w:t>
                    </w:r>
                  </w:p>
                </w:txbxContent>
              </v:textbox>
              <w10:wrap type="none"/>
            </v:rect>
          </w:pict>
        </mc:Fallback>
      </mc:AlternateContent>
      <w:drawing>
        <wp:anchor behindDoc="1" distT="0" distB="0" distL="0" distR="0" simplePos="0" locked="0" layoutInCell="0" allowOverlap="1" relativeHeight="5">
          <wp:simplePos x="0" y="0"/>
          <wp:positionH relativeFrom="page">
            <wp:posOffset>2750820</wp:posOffset>
          </wp:positionH>
          <wp:positionV relativeFrom="page">
            <wp:posOffset>-7620</wp:posOffset>
          </wp:positionV>
          <wp:extent cx="4795520" cy="1094105"/>
          <wp:effectExtent l="0" t="0" r="0" b="0"/>
          <wp:wrapNone/>
          <wp:docPr id="3" name="officeArt object" descr="Asociace_cyklomest_dop_pap_podkl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ficeArt object" descr="Asociace_cyklomest_dop_pap_podklad1.png"/>
                  <pic:cNvPicPr>
                    <a:picLocks noChangeAspect="1" noChangeArrowheads="1"/>
                  </pic:cNvPicPr>
                </pic:nvPicPr>
                <pic:blipFill>
                  <a:blip r:embed="rId1"/>
                  <a:stretch>
                    <a:fillRect/>
                  </a:stretch>
                </pic:blipFill>
                <pic:spPr bwMode="auto">
                  <a:xfrm>
                    <a:off x="0" y="0"/>
                    <a:ext cx="4795520" cy="1094105"/>
                  </a:xfrm>
                  <a:prstGeom prst="rect">
                    <a:avLst/>
                  </a:prstGeom>
                </pic:spPr>
              </pic:pic>
            </a:graphicData>
          </a:graphic>
        </wp:anchor>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pStyle w:val="Nadpis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60" w:after="60"/>
      <w:jc w:val="both"/>
    </w:pPr>
    <w:rPr>
      <w:rFonts w:ascii="Calibri" w:hAnsi="Calibri" w:eastAsia="Arial Unicode MS" w:cs="Arial Unicode MS"/>
      <w:color w:val="414042"/>
      <w:kern w:val="0"/>
      <w:sz w:val="28"/>
      <w:szCs w:val="28"/>
      <w:u w:val="none" w:color="414042"/>
      <w:lang w:val="cs-CZ" w:eastAsia="cs-CZ" w:bidi="ar-SA"/>
    </w:rPr>
  </w:style>
  <w:style w:type="paragraph" w:styleId="Nadpis1">
    <w:name w:val="Heading 1"/>
    <w:basedOn w:val="Nadpis"/>
    <w:next w:val="Tlotextu"/>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Internetovodkaz">
    <w:name w:val="Internetový odkaz"/>
    <w:rPr>
      <w:u w:val="single"/>
    </w:rPr>
  </w:style>
  <w:style w:type="character" w:styleId="Ukotvenvysvtlivky">
    <w:name w:val="Ukotvení vysvětlivky"/>
    <w:rPr>
      <w:vertAlign w:val="superscript"/>
    </w:rPr>
  </w:style>
  <w:style w:type="character" w:styleId="EndnoteCharacters">
    <w:name w:val="Endnote Characters"/>
    <w:qFormat/>
    <w:rPr>
      <w:vertAlign w:val="superscript"/>
    </w:rPr>
  </w:style>
  <w:style w:type="character" w:styleId="Hyperlink0" w:customStyle="1">
    <w:name w:val="Hyperlink.0"/>
    <w:basedOn w:val="Internetovodkaz"/>
    <w:qFormat/>
    <w:rPr>
      <w:outline w:val="false"/>
      <w:color w:val="0000FF"/>
      <w:u w:val="single" w:color="0000FF"/>
    </w:rPr>
  </w:style>
  <w:style w:type="character" w:styleId="Hyperlink1" w:customStyle="1">
    <w:name w:val="Hyperlink.1"/>
    <w:basedOn w:val="Hyperlink0"/>
    <w:qFormat/>
    <w:rPr>
      <w:outline w:val="false"/>
      <w:color w:val="0000FF"/>
      <w:sz w:val="28"/>
      <w:szCs w:val="28"/>
      <w:u w:val="single" w:color="0000FF"/>
    </w:rPr>
  </w:style>
  <w:style w:type="character" w:styleId="Annotationreference">
    <w:name w:val="annotation reference"/>
    <w:basedOn w:val="DefaultParagraphFont"/>
    <w:uiPriority w:val="99"/>
    <w:semiHidden/>
    <w:unhideWhenUsed/>
    <w:qFormat/>
    <w:rsid w:val="00cc32d8"/>
    <w:rPr>
      <w:sz w:val="16"/>
      <w:szCs w:val="16"/>
    </w:rPr>
  </w:style>
  <w:style w:type="character" w:styleId="TextkomenteChar" w:customStyle="1">
    <w:name w:val="Text komentáře Char"/>
    <w:basedOn w:val="DefaultParagraphFont"/>
    <w:link w:val="Textkomente"/>
    <w:uiPriority w:val="99"/>
    <w:semiHidden/>
    <w:qFormat/>
    <w:rsid w:val="00cc32d8"/>
    <w:rPr>
      <w:rFonts w:ascii="Calibri" w:hAnsi="Calibri" w:cs="Arial Unicode MS"/>
      <w:color w:val="414042"/>
      <w:u w:val="none" w:color="414042"/>
    </w:rPr>
  </w:style>
  <w:style w:type="character" w:styleId="PedmtkomenteChar" w:customStyle="1">
    <w:name w:val="Předmět komentáře Char"/>
    <w:basedOn w:val="TextkomenteChar"/>
    <w:link w:val="Pedmtkomente"/>
    <w:uiPriority w:val="99"/>
    <w:semiHidden/>
    <w:qFormat/>
    <w:rsid w:val="00cc32d8"/>
    <w:rPr>
      <w:rFonts w:ascii="Calibri" w:hAnsi="Calibri" w:cs="Arial Unicode MS"/>
      <w:b/>
      <w:bCs/>
      <w:color w:val="414042"/>
      <w:u w:val="none" w:color="414042"/>
    </w:rPr>
  </w:style>
  <w:style w:type="character" w:styleId="TextpoznpodarouChar" w:customStyle="1">
    <w:name w:val="Text pozn. pod čarou Char"/>
    <w:basedOn w:val="DefaultParagraphFont"/>
    <w:link w:val="Textpoznpodarou"/>
    <w:uiPriority w:val="99"/>
    <w:semiHidden/>
    <w:qFormat/>
    <w:rsid w:val="00cc32d8"/>
    <w:rPr>
      <w:rFonts w:ascii="Arial" w:hAnsi="Arial" w:eastAsia="Arial" w:cs="Arial"/>
      <w:lang w:val="cs"/>
    </w:rPr>
  </w:style>
  <w:style w:type="character" w:styleId="Ukotvenpoznmkypodarou">
    <w:name w:val="Ukotvení poznámky pod čarou"/>
    <w:rPr>
      <w:vertAlign w:val="superscript"/>
    </w:rPr>
  </w:style>
  <w:style w:type="character" w:styleId="FootnoteCharacters">
    <w:name w:val="Footnote Characters"/>
    <w:basedOn w:val="DefaultParagraphFont"/>
    <w:uiPriority w:val="99"/>
    <w:semiHidden/>
    <w:unhideWhenUsed/>
    <w:qFormat/>
    <w:rsid w:val="00cc32d8"/>
    <w:rPr>
      <w:vertAlign w:val="superscript"/>
    </w:rPr>
  </w:style>
  <w:style w:type="character" w:styleId="Nevyeenzmnka1" w:customStyle="1">
    <w:name w:val="Nevyřešená zmínka1"/>
    <w:basedOn w:val="DefaultParagraphFont"/>
    <w:uiPriority w:val="99"/>
    <w:semiHidden/>
    <w:unhideWhenUsed/>
    <w:qFormat/>
    <w:rsid w:val="009f3696"/>
    <w:rPr>
      <w:color w:val="605E5C"/>
      <w:shd w:fill="E1DFDD" w:val="clear"/>
    </w:rPr>
  </w:style>
  <w:style w:type="character" w:styleId="ZhlavChar" w:customStyle="1">
    <w:name w:val="Záhlaví Char"/>
    <w:basedOn w:val="DefaultParagraphFont"/>
    <w:link w:val="Zhlav"/>
    <w:uiPriority w:val="99"/>
    <w:qFormat/>
    <w:rsid w:val="00cc32d8"/>
    <w:rPr>
      <w:rFonts w:ascii="Calibri" w:hAnsi="Calibri" w:cs="Arial Unicode MS"/>
      <w:color w:val="414042"/>
      <w:sz w:val="28"/>
      <w:szCs w:val="28"/>
      <w:u w:val="none" w:color="414042"/>
    </w:rPr>
  </w:style>
  <w:style w:type="character" w:styleId="Navtveninternetovodkaz">
    <w:name w:val="Navštívený internetový odkaz"/>
    <w:basedOn w:val="DefaultParagraphFont"/>
    <w:uiPriority w:val="99"/>
    <w:semiHidden/>
    <w:unhideWhenUsed/>
    <w:rsid w:val="00ca7ed4"/>
    <w:rPr>
      <w:color w:val="FF00FF" w:themeColor="followedHyperlink"/>
      <w:u w:val="single"/>
    </w:rPr>
  </w:style>
  <w:style w:type="character" w:styleId="TextbublinyChar" w:customStyle="1">
    <w:name w:val="Text bubliny Char"/>
    <w:basedOn w:val="DefaultParagraphFont"/>
    <w:link w:val="Textbubliny"/>
    <w:uiPriority w:val="99"/>
    <w:semiHidden/>
    <w:qFormat/>
    <w:rsid w:val="009f3696"/>
    <w:rPr>
      <w:rFonts w:ascii="Tahoma" w:hAnsi="Tahoma" w:cs="Tahoma"/>
      <w:color w:val="414042"/>
      <w:sz w:val="16"/>
      <w:szCs w:val="16"/>
      <w:u w:val="none" w:color="414042"/>
    </w:rPr>
  </w:style>
  <w:style w:type="character" w:styleId="Znakypropoznmkupodarou">
    <w:name w:val="Znaky pro poznámku pod čarou"/>
    <w:qFormat/>
    <w:rPr/>
  </w:style>
  <w:style w:type="character" w:styleId="Odrky">
    <w:name w:val="Odrážky"/>
    <w:qFormat/>
    <w:rPr>
      <w:rFonts w:ascii="OpenSymbol" w:hAnsi="OpenSymbol" w:eastAsia="OpenSymbol" w:cs="OpenSymbol"/>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pPr>
      <w:widowControl w:val="false"/>
      <w:suppressAutoHyphens w:val="true"/>
      <w:bidi w:val="0"/>
      <w:spacing w:before="60" w:after="60"/>
      <w:jc w:val="both"/>
    </w:pPr>
    <w:rPr>
      <w:rFonts w:ascii="Calibri" w:hAnsi="Calibri" w:eastAsia="Arial Unicode MS" w:cs="Arial Unicode MS"/>
      <w:color w:val="414042"/>
      <w:kern w:val="0"/>
      <w:sz w:val="28"/>
      <w:szCs w:val="28"/>
      <w:u w:val="none" w:color="414042"/>
      <w:lang w:val="cs-CZ" w:eastAsia="cs-CZ" w:bidi="ar-SA"/>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Zhlavazpat">
    <w:name w:val="Záhlaví a zápatí"/>
    <w:basedOn w:val="Normal"/>
    <w:qFormat/>
    <w:pPr/>
    <w:rPr/>
  </w:style>
  <w:style w:type="paragraph" w:styleId="Zhlav">
    <w:name w:val="Header"/>
    <w:link w:val="ZhlavChar"/>
    <w:uiPriority w:val="99"/>
    <w:pPr>
      <w:widowControl w:val="false"/>
      <w:tabs>
        <w:tab w:val="clear" w:pos="708"/>
        <w:tab w:val="center" w:pos="4536" w:leader="none"/>
        <w:tab w:val="right" w:pos="9072" w:leader="none"/>
      </w:tabs>
      <w:suppressAutoHyphens w:val="true"/>
      <w:bidi w:val="0"/>
      <w:spacing w:before="60" w:after="0"/>
      <w:jc w:val="both"/>
    </w:pPr>
    <w:rPr>
      <w:rFonts w:ascii="Calibri" w:hAnsi="Calibri" w:eastAsia="Arial Unicode MS" w:cs="Arial Unicode MS"/>
      <w:color w:val="414042"/>
      <w:kern w:val="0"/>
      <w:sz w:val="28"/>
      <w:szCs w:val="28"/>
      <w:u w:val="none" w:color="414042"/>
      <w:lang w:val="cs-CZ" w:eastAsia="cs-CZ" w:bidi="ar-SA"/>
    </w:rPr>
  </w:style>
  <w:style w:type="paragraph" w:styleId="Zpat">
    <w:name w:val="Footer"/>
    <w:pPr>
      <w:widowControl w:val="false"/>
      <w:tabs>
        <w:tab w:val="clear" w:pos="708"/>
        <w:tab w:val="center" w:pos="4536" w:leader="none"/>
        <w:tab w:val="right" w:pos="9072" w:leader="none"/>
      </w:tabs>
      <w:suppressAutoHyphens w:val="true"/>
      <w:bidi w:val="0"/>
      <w:spacing w:before="60" w:after="0"/>
      <w:jc w:val="both"/>
    </w:pPr>
    <w:rPr>
      <w:rFonts w:ascii="Calibri" w:hAnsi="Calibri" w:eastAsia="Calibri" w:cs="Calibri"/>
      <w:color w:val="414042"/>
      <w:kern w:val="0"/>
      <w:sz w:val="28"/>
      <w:szCs w:val="28"/>
      <w:u w:val="none" w:color="414042"/>
      <w:lang w:val="cs-CZ" w:eastAsia="cs-CZ" w:bidi="ar-SA"/>
    </w:rPr>
  </w:style>
  <w:style w:type="paragraph" w:styleId="Vysvtlivka">
    <w:name w:val="Endnote Text"/>
    <w:pPr>
      <w:widowControl w:val="false"/>
      <w:suppressAutoHyphens w:val="true"/>
      <w:bidi w:val="0"/>
      <w:spacing w:before="0" w:after="0"/>
      <w:jc w:val="both"/>
    </w:pPr>
    <w:rPr>
      <w:rFonts w:ascii="Calibri" w:hAnsi="Calibri" w:eastAsia="Calibri" w:cs="Calibri"/>
      <w:color w:val="414042"/>
      <w:kern w:val="0"/>
      <w:sz w:val="20"/>
      <w:szCs w:val="20"/>
      <w:u w:val="none" w:color="414042"/>
      <w:lang w:val="cs-CZ" w:eastAsia="cs-CZ" w:bidi="ar-SA"/>
    </w:rPr>
  </w:style>
  <w:style w:type="paragraph" w:styleId="ListParagraph">
    <w:name w:val="List Paragraph"/>
    <w:qFormat/>
    <w:pPr>
      <w:widowControl w:val="false"/>
      <w:suppressAutoHyphens w:val="true"/>
      <w:bidi w:val="0"/>
      <w:spacing w:before="60" w:after="60"/>
      <w:ind w:left="720" w:hanging="0"/>
      <w:jc w:val="both"/>
    </w:pPr>
    <w:rPr>
      <w:rFonts w:ascii="Calibri" w:hAnsi="Calibri" w:eastAsia="Arial Unicode MS" w:cs="Arial Unicode MS"/>
      <w:color w:val="414042"/>
      <w:kern w:val="0"/>
      <w:sz w:val="28"/>
      <w:szCs w:val="28"/>
      <w:u w:val="none" w:color="414042"/>
      <w:lang w:val="cs-CZ" w:eastAsia="cs-CZ" w:bidi="ar-SA"/>
    </w:rPr>
  </w:style>
  <w:style w:type="paragraph" w:styleId="Annotationtext">
    <w:name w:val="annotation text"/>
    <w:basedOn w:val="Normal"/>
    <w:link w:val="TextkomenteChar"/>
    <w:uiPriority w:val="99"/>
    <w:semiHidden/>
    <w:unhideWhenUsed/>
    <w:qFormat/>
    <w:rsid w:val="00cc32d8"/>
    <w:pPr/>
    <w:rPr>
      <w:sz w:val="20"/>
      <w:szCs w:val="20"/>
    </w:rPr>
  </w:style>
  <w:style w:type="paragraph" w:styleId="Annotationsubject">
    <w:name w:val="annotation subject"/>
    <w:basedOn w:val="Annotationtext"/>
    <w:next w:val="Annotationtext"/>
    <w:link w:val="PedmtkomenteChar"/>
    <w:uiPriority w:val="99"/>
    <w:semiHidden/>
    <w:unhideWhenUsed/>
    <w:qFormat/>
    <w:rsid w:val="00cc32d8"/>
    <w:pPr/>
    <w:rPr>
      <w:b/>
      <w:bCs/>
    </w:rPr>
  </w:style>
  <w:style w:type="paragraph" w:styleId="Poznmkapodarou">
    <w:name w:val="Footnote Text"/>
    <w:basedOn w:val="Normal"/>
    <w:link w:val="TextpoznpodarouChar"/>
    <w:uiPriority w:val="99"/>
    <w:semiHidden/>
    <w:unhideWhenUsed/>
    <w:rsid w:val="00cc32d8"/>
    <w:pPr>
      <w:widowControl/>
      <w:spacing w:before="0" w:after="0"/>
      <w:jc w:val="left"/>
    </w:pPr>
    <w:rPr>
      <w:rFonts w:ascii="Arial" w:hAnsi="Arial" w:eastAsia="Arial" w:cs="Arial"/>
      <w:color w:val="auto"/>
      <w:sz w:val="20"/>
      <w:szCs w:val="20"/>
      <w:lang w:val="cs"/>
    </w:rPr>
  </w:style>
  <w:style w:type="paragraph" w:styleId="BalloonText">
    <w:name w:val="Balloon Text"/>
    <w:basedOn w:val="Normal"/>
    <w:link w:val="TextbublinyChar"/>
    <w:uiPriority w:val="99"/>
    <w:semiHidden/>
    <w:unhideWhenUsed/>
    <w:qFormat/>
    <w:rsid w:val="009f3696"/>
    <w:pPr>
      <w:spacing w:before="0" w:after="0"/>
    </w:pPr>
    <w:rPr>
      <w:rFonts w:ascii="Tahoma" w:hAnsi="Tahoma" w:cs="Tahoma"/>
      <w:sz w:val="16"/>
      <w:szCs w:val="16"/>
    </w:rPr>
  </w:style>
  <w:style w:type="paragraph" w:styleId="Revision">
    <w:name w:val="Revision"/>
    <w:uiPriority w:val="99"/>
    <w:semiHidden/>
    <w:qFormat/>
    <w:rsid w:val="009f3696"/>
    <w:pPr>
      <w:widowControl/>
      <w:suppressAutoHyphens w:val="true"/>
      <w:bidi w:val="0"/>
      <w:spacing w:before="0" w:after="0"/>
      <w:jc w:val="left"/>
    </w:pPr>
    <w:rPr>
      <w:rFonts w:ascii="Calibri" w:hAnsi="Calibri" w:eastAsia="Arial Unicode MS" w:cs="Arial Unicode MS"/>
      <w:color w:val="414042"/>
      <w:kern w:val="0"/>
      <w:sz w:val="28"/>
      <w:szCs w:val="28"/>
      <w:u w:val="none" w:color="414042"/>
      <w:lang w:val="cs-CZ" w:eastAsia="cs-CZ" w:bidi="ar-SA"/>
    </w:rPr>
  </w:style>
  <w:style w:type="paragraph" w:styleId="Obsahrmce">
    <w:name w:val="Obsah rámce"/>
    <w:basedOn w:val="Normal"/>
    <w:qFormat/>
    <w:pPr/>
    <w:rPr/>
  </w:style>
  <w:style w:type="numbering" w:styleId="NoList" w:default="1">
    <w:name w:val="No List"/>
    <w:uiPriority w:val="99"/>
    <w:semiHidden/>
    <w:unhideWhenUsed/>
    <w:qFormat/>
  </w:style>
  <w:style w:type="numbering" w:styleId="ImportedStyle1" w:customStyle="1">
    <w:name w:val="Imported Style 1"/>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Mkatabulky">
    <w:name w:val="Table Grid"/>
    <w:basedOn w:val="Normlntabulka"/>
    <w:uiPriority w:val="59"/>
    <w:rsid w:val="00f54b08"/>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kademiemobility.cz/download/1630/Ipsos%2520pro%2520CzechTourism_Cykloturistika_2016_zaverecna%2520zprava.pdf" TargetMode="External"/><Relationship Id="rId3" Type="http://schemas.openxmlformats.org/officeDocument/2006/relationships/hyperlink" Target="https://www.akademiemobility.cz/download/1630/Ipsos%2520pro%2520CzechTourism_Cykloturistika_2016_zaverecna%2520zprava.pdf" TargetMode="External"/><Relationship Id="rId4" Type="http://schemas.openxmlformats.org/officeDocument/2006/relationships/hyperlink" Target="https://www.dobramesta.cz/download/4507" TargetMode="External"/><Relationship Id="rId5" Type="http://schemas.openxmlformats.org/officeDocument/2006/relationships/hyperlink" Target="https://www.akademiemobility.cz/aktuality/1333/atlas-mobility-pro-evropu-2021-byl-oficialne-predstaveny-v-bruselu&#168;" TargetMode="External"/><Relationship Id="rId6" Type="http://schemas.openxmlformats.org/officeDocument/2006/relationships/hyperlink" Target="https://www.dobramesta.cz/novinky/1231/vyzva-k-akci-zohlednete-cyklistiku-v-planech-obnovy-a-ve-viceletych-programech-pro-obdobi-2021-2027" TargetMode="External"/><Relationship Id="rId7" Type="http://schemas.openxmlformats.org/officeDocument/2006/relationships/hyperlink" Target="https://www.dobramesta.cz/novinky/1258/cyklistika-v-narodnich-planech-na-podporu-oziveni-po-pandemii-covid-19-prave-ted-je-cas-jednat" TargetMode="External"/><Relationship Id="rId8" Type="http://schemas.openxmlformats.org/officeDocument/2006/relationships/hyperlink" Target="http://www.dobramesta.cz/" TargetMode="External"/><Relationship Id="rId9" Type="http://schemas.openxmlformats.org/officeDocument/2006/relationships/hyperlink" Target="https://www.youtube.com/watch?v=HqlMZ6vBeS0" TargetMode="External"/><Relationship Id="rId10" Type="http://schemas.openxmlformats.org/officeDocument/2006/relationships/hyperlink" Target="https://www.youtube.com/watch?v=7HlEhscWpwc" TargetMode="External"/><Relationship Id="rId11" Type="http://schemas.openxmlformats.org/officeDocument/2006/relationships/hyperlink" Target="https://www.youtube.com/watch?v=rIW_tJWFkCI" TargetMode="External"/><Relationship Id="rId12" Type="http://schemas.openxmlformats.org/officeDocument/2006/relationships/hyperlink" Target="https://www.youtube.com/watch?v=njOi5J6lvXs" TargetMode="External"/><Relationship Id="rId13" Type="http://schemas.openxmlformats.org/officeDocument/2006/relationships/hyperlink" Target="https://www.youtube.com/watch?v=4CE2sNSwRpc" TargetMode="External"/><Relationship Id="rId14" Type="http://schemas.openxmlformats.org/officeDocument/2006/relationships/hyperlink" Target="https://www.youtube.com/watch?v=ndgYOuJdRaM" TargetMode="External"/><Relationship Id="rId15" Type="http://schemas.openxmlformats.org/officeDocument/2006/relationships/hyperlink" Target="" TargetMode="External"/><Relationship Id="rId16" Type="http://schemas.openxmlformats.org/officeDocument/2006/relationships/hyperlink" Target="https://www.youtube.com/watch?v=YEBzGq2YaNg" TargetMode="External"/><Relationship Id="rId17" Type="http://schemas.openxmlformats.org/officeDocument/2006/relationships/hyperlink" Target="" TargetMode="External"/><Relationship Id="rId18" Type="http://schemas.openxmlformats.org/officeDocument/2006/relationships/hyperlink" Target="https://www.youtube.com/watch?v=ozbA05gbhkE&amp;list=PL365JKhQUt8U1KcpfFouaHmMKFYTCBeFj&amp;index=13" TargetMode="External"/><Relationship Id="rId19" Type="http://schemas.openxmlformats.org/officeDocument/2006/relationships/hyperlink" Target="" TargetMode="External"/><Relationship Id="rId20" Type="http://schemas.openxmlformats.org/officeDocument/2006/relationships/hyperlink" Target="https://www.youtube.com/watch?v=rI4AhTJ2H4Y&amp;list=PL365JKhQUt8U1KcpfFouaHmMKFYTCBeFj&amp;index=12" TargetMode="External"/><Relationship Id="rId21" Type="http://schemas.openxmlformats.org/officeDocument/2006/relationships/hyperlink" Target="" TargetMode="External"/><Relationship Id="rId22" Type="http://schemas.openxmlformats.org/officeDocument/2006/relationships/hyperlink" Target="https://www.youtube.com/watch?v=-BIlhuQnvZE&amp;list=PL365JKhQUt8U1KcpfFouaHmMKFYTCBeFj&amp;index=17" TargetMode="External"/><Relationship Id="rId23" Type="http://schemas.openxmlformats.org/officeDocument/2006/relationships/hyperlink" Target="" TargetMode="External"/><Relationship Id="rId24" Type="http://schemas.openxmlformats.org/officeDocument/2006/relationships/hyperlink" Target="https://www.youtube.com/watch?v=KIKe0prhMuY&amp;list=PL365JKhQUt8U1KcpfFouaHmMKFYTCBeFj&amp;index=13" TargetMode="External"/><Relationship Id="rId25" Type="http://schemas.openxmlformats.org/officeDocument/2006/relationships/hyperlink" Target=""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otnotes" Target="footnotes.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footnotes.xml.rels><?xml version="1.0" encoding="UTF-8"?>
<Relationships xmlns="http://schemas.openxmlformats.org/package/2006/relationships"><Relationship Id="rId1" Type="http://schemas.openxmlformats.org/officeDocument/2006/relationships/hyperlink" Target="https://www.citychangers.cz/statistika"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LibreOffice/7.1.1.2$Windows_X86_64 LibreOffice_project/fe0b08f4af1bacafe4c7ecc87ce55bb426164676</Application>
  <AppVersion>15.0000</AppVersion>
  <Pages>4</Pages>
  <Words>1105</Words>
  <Characters>6907</Characters>
  <CharactersWithSpaces>7938</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2021-03-22T15:32:00Z</dcterms:created>
  <dc:creator>Jitka Vrtalova</dc:creator>
  <dc:description/>
  <dc:language>cs-CZ</dc:language>
  <cp:lastModifiedBy/>
  <cp:lastPrinted>2021-03-22T07:26:00Z</cp:lastPrinted>
  <dcterms:modified xsi:type="dcterms:W3CDTF">2021-03-27T13:59:58Z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